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4E73" w14:textId="77777777" w:rsidR="00D818E3" w:rsidRDefault="00000000">
      <w:pPr>
        <w:jc w:val="center"/>
        <w:rPr>
          <w:rFonts w:ascii="黑体" w:eastAsia="黑体" w:hAnsi="黑体" w:cs="黑体" w:hint="eastAsia"/>
          <w:b/>
          <w:bCs/>
          <w:kern w:val="2"/>
          <w:sz w:val="72"/>
          <w:szCs w:val="72"/>
        </w:rPr>
      </w:pPr>
      <w:r>
        <w:rPr>
          <w:rFonts w:ascii="黑体" w:eastAsia="黑体" w:hAnsi="黑体" w:cs="黑体" w:hint="eastAsia"/>
          <w:b/>
          <w:bCs/>
          <w:kern w:val="2"/>
          <w:sz w:val="72"/>
          <w:szCs w:val="72"/>
        </w:rPr>
        <w:t>​教学设计</w:t>
      </w:r>
    </w:p>
    <w:p w14:paraId="2ED742C9" w14:textId="77777777" w:rsidR="00D818E3" w:rsidRDefault="00D818E3">
      <w:pPr>
        <w:keepNext/>
        <w:keepLines/>
        <w:spacing w:before="160" w:after="80"/>
        <w:outlineLvl w:val="1"/>
        <w:rPr>
          <w:rFonts w:ascii="黑体" w:eastAsia="黑体" w:hAnsi="黑体" w:cs="黑体" w:hint="eastAsia"/>
          <w:sz w:val="40"/>
          <w:szCs w:val="40"/>
        </w:rPr>
      </w:pPr>
    </w:p>
    <w:p w14:paraId="4E006EC6" w14:textId="77777777" w:rsidR="00D818E3" w:rsidRDefault="00D818E3">
      <w:pPr>
        <w:keepNext/>
        <w:keepLines/>
        <w:spacing w:before="160" w:after="80"/>
        <w:outlineLvl w:val="1"/>
        <w:rPr>
          <w:rFonts w:ascii="黑体" w:eastAsia="黑体" w:hAnsi="黑体" w:cs="黑体" w:hint="eastAsia"/>
          <w:sz w:val="40"/>
          <w:szCs w:val="40"/>
        </w:rPr>
      </w:pPr>
    </w:p>
    <w:p w14:paraId="2390A6E7" w14:textId="77777777" w:rsidR="00D818E3" w:rsidRDefault="00D818E3">
      <w:pPr>
        <w:keepNext/>
        <w:keepLines/>
        <w:spacing w:before="160" w:after="80"/>
        <w:outlineLvl w:val="1"/>
        <w:rPr>
          <w:rFonts w:ascii="黑体" w:eastAsia="黑体" w:hAnsi="黑体" w:cs="黑体" w:hint="eastAsia"/>
          <w:sz w:val="40"/>
          <w:szCs w:val="40"/>
        </w:rPr>
      </w:pPr>
    </w:p>
    <w:p w14:paraId="4AE613C1" w14:textId="77777777" w:rsidR="00D818E3" w:rsidRDefault="00000000">
      <w:pPr>
        <w:ind w:leftChars="1000" w:left="2100"/>
        <w:jc w:val="left"/>
        <w:rPr>
          <w:rFonts w:ascii="黑体" w:eastAsia="黑体" w:hAnsi="黑体" w:cs="黑体" w:hint="eastAsia"/>
          <w:b/>
          <w:bCs/>
          <w:kern w:val="2"/>
          <w:sz w:val="48"/>
          <w:szCs w:val="48"/>
        </w:rPr>
      </w:pPr>
      <w:r>
        <w:rPr>
          <w:rFonts w:ascii="黑体" w:eastAsia="黑体" w:hAnsi="黑体" w:cs="黑体" w:hint="eastAsia"/>
          <w:b/>
          <w:bCs/>
          <w:kern w:val="2"/>
          <w:sz w:val="48"/>
          <w:szCs w:val="48"/>
        </w:rPr>
        <w:t>专业名称</w:t>
      </w:r>
      <w:r>
        <w:rPr>
          <w:rFonts w:ascii="黑体" w:eastAsia="黑体" w:hAnsi="黑体" w:cs="黑体" w:hint="eastAsia"/>
          <w:kern w:val="2"/>
          <w:sz w:val="48"/>
          <w:szCs w:val="48"/>
        </w:rPr>
        <w:t>：</w:t>
      </w:r>
      <w:r>
        <w:rPr>
          <w:rFonts w:ascii="黑体" w:eastAsia="黑体" w:hAnsi="黑体" w:cs="黑体" w:hint="eastAsia"/>
          <w:kern w:val="2"/>
          <w:sz w:val="44"/>
          <w:szCs w:val="44"/>
        </w:rPr>
        <w:t>智能制造装备技术</w:t>
      </w:r>
      <w:r>
        <w:rPr>
          <w:rFonts w:ascii="黑体" w:eastAsia="黑体" w:hAnsi="黑体" w:cs="黑体" w:hint="eastAsia"/>
          <w:kern w:val="2"/>
          <w:sz w:val="44"/>
          <w:szCs w:val="44"/>
        </w:rPr>
        <w:br/>
      </w:r>
      <w:r>
        <w:rPr>
          <w:rFonts w:ascii="黑体" w:eastAsia="黑体" w:hAnsi="黑体" w:cs="黑体" w:hint="eastAsia"/>
          <w:b/>
          <w:bCs/>
          <w:kern w:val="2"/>
          <w:sz w:val="48"/>
          <w:szCs w:val="48"/>
        </w:rPr>
        <w:t>课程名称</w:t>
      </w:r>
      <w:r>
        <w:rPr>
          <w:rFonts w:ascii="黑体" w:eastAsia="黑体" w:hAnsi="黑体" w:cs="黑体" w:hint="eastAsia"/>
          <w:kern w:val="2"/>
          <w:sz w:val="48"/>
          <w:szCs w:val="48"/>
        </w:rPr>
        <w:t>：先进制造技术</w:t>
      </w:r>
      <w:r>
        <w:rPr>
          <w:rFonts w:ascii="黑体" w:eastAsia="黑体" w:hAnsi="黑体" w:cs="黑体" w:hint="eastAsia"/>
          <w:kern w:val="2"/>
          <w:sz w:val="48"/>
          <w:szCs w:val="48"/>
        </w:rPr>
        <w:br/>
      </w:r>
      <w:r>
        <w:rPr>
          <w:rFonts w:ascii="黑体" w:eastAsia="黑体" w:hAnsi="黑体" w:cs="黑体" w:hint="eastAsia"/>
          <w:b/>
          <w:bCs/>
          <w:kern w:val="2"/>
          <w:sz w:val="48"/>
          <w:szCs w:val="48"/>
        </w:rPr>
        <w:t>任课教师</w:t>
      </w:r>
      <w:r>
        <w:rPr>
          <w:rFonts w:ascii="黑体" w:eastAsia="黑体" w:hAnsi="黑体" w:cs="黑体" w:hint="eastAsia"/>
          <w:kern w:val="2"/>
          <w:sz w:val="48"/>
          <w:szCs w:val="48"/>
        </w:rPr>
        <w:t>：XXX</w:t>
      </w:r>
      <w:r>
        <w:rPr>
          <w:rFonts w:ascii="黑体" w:eastAsia="黑体" w:hAnsi="黑体" w:cs="黑体" w:hint="eastAsia"/>
          <w:kern w:val="2"/>
          <w:sz w:val="48"/>
          <w:szCs w:val="48"/>
        </w:rPr>
        <w:br/>
      </w:r>
      <w:r>
        <w:rPr>
          <w:rFonts w:ascii="黑体" w:eastAsia="黑体" w:hAnsi="黑体" w:cs="黑体" w:hint="eastAsia"/>
          <w:b/>
          <w:bCs/>
          <w:kern w:val="2"/>
          <w:sz w:val="48"/>
          <w:szCs w:val="48"/>
        </w:rPr>
        <w:t>院系</w:t>
      </w:r>
      <w:r>
        <w:rPr>
          <w:rFonts w:ascii="黑体" w:eastAsia="黑体" w:hAnsi="黑体" w:cs="黑体" w:hint="eastAsia"/>
          <w:kern w:val="2"/>
          <w:sz w:val="48"/>
          <w:szCs w:val="48"/>
        </w:rPr>
        <w:t>：智能制造学院</w:t>
      </w:r>
      <w:r>
        <w:rPr>
          <w:rFonts w:ascii="黑体" w:eastAsia="黑体" w:hAnsi="黑体" w:cs="黑体" w:hint="eastAsia"/>
          <w:kern w:val="2"/>
          <w:sz w:val="48"/>
          <w:szCs w:val="48"/>
        </w:rPr>
        <w:br/>
      </w:r>
      <w:r>
        <w:rPr>
          <w:rFonts w:ascii="黑体" w:eastAsia="黑体" w:hAnsi="黑体" w:cs="黑体" w:hint="eastAsia"/>
          <w:b/>
          <w:bCs/>
          <w:kern w:val="2"/>
          <w:sz w:val="48"/>
          <w:szCs w:val="48"/>
        </w:rPr>
        <w:t>教务处制</w:t>
      </w:r>
      <w:r>
        <w:rPr>
          <w:rFonts w:ascii="黑体" w:eastAsia="黑体" w:hAnsi="黑体" w:cs="黑体" w:hint="eastAsia"/>
          <w:kern w:val="2"/>
          <w:sz w:val="48"/>
          <w:szCs w:val="48"/>
        </w:rPr>
        <w:t>​</w:t>
      </w:r>
      <w:r>
        <w:rPr>
          <w:rFonts w:ascii="黑体" w:eastAsia="黑体" w:hAnsi="黑体" w:cs="黑体" w:hint="eastAsia"/>
          <w:kern w:val="2"/>
          <w:sz w:val="48"/>
          <w:szCs w:val="48"/>
        </w:rPr>
        <w:br/>
      </w:r>
      <w:r>
        <w:rPr>
          <w:rFonts w:ascii="黑体" w:eastAsia="黑体" w:hAnsi="黑体" w:cs="黑体" w:hint="eastAsia"/>
          <w:b/>
          <w:bCs/>
          <w:kern w:val="2"/>
          <w:sz w:val="48"/>
          <w:szCs w:val="48"/>
        </w:rPr>
        <w:t>2023年12月</w:t>
      </w:r>
    </w:p>
    <w:p w14:paraId="3ECF9E68" w14:textId="77777777" w:rsidR="00D818E3" w:rsidRDefault="00000000">
      <w:pPr>
        <w:rPr>
          <w:rFonts w:ascii="黑体" w:eastAsia="黑体" w:hAnsi="黑体" w:cs="黑体" w:hint="eastAsia"/>
          <w:sz w:val="28"/>
          <w:szCs w:val="28"/>
        </w:rPr>
      </w:pPr>
      <w:r>
        <w:rPr>
          <w:rFonts w:ascii="黑体" w:eastAsia="黑体" w:hAnsi="黑体" w:cs="黑体" w:hint="eastAsia"/>
          <w:sz w:val="28"/>
          <w:szCs w:val="28"/>
        </w:rPr>
        <w:br w:type="page"/>
      </w:r>
    </w:p>
    <w:p w14:paraId="2BBDE789" w14:textId="77777777" w:rsidR="00D818E3" w:rsidRDefault="00000000">
      <w:pPr>
        <w:pStyle w:val="1"/>
        <w:rPr>
          <w:rFonts w:ascii="黑体" w:eastAsia="黑体" w:hAnsi="黑体" w:cs="黑体" w:hint="eastAsia"/>
          <w:sz w:val="28"/>
          <w:szCs w:val="28"/>
        </w:rPr>
      </w:pPr>
      <w:r>
        <w:rPr>
          <w:rFonts w:ascii="黑体" w:eastAsia="黑体" w:hAnsi="黑体" w:cs="黑体" w:hint="eastAsia"/>
          <w:sz w:val="28"/>
          <w:szCs w:val="28"/>
        </w:rPr>
        <w:lastRenderedPageBreak/>
        <w:t>现代特种加工技术——任务三：激光加工教案</w:t>
      </w:r>
    </w:p>
    <w:p w14:paraId="309D5F00"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一、教学基本信息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60"/>
        <w:gridCol w:w="6073"/>
      </w:tblGrid>
      <w:tr w:rsidR="00D818E3" w14:paraId="56DFD39D"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01620053"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项目</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0900D32"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内容</w:t>
            </w:r>
          </w:p>
        </w:tc>
      </w:tr>
      <w:tr w:rsidR="00D818E3" w14:paraId="69AB296C"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32DBA29E"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授课任务</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CF79BEA"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任务三：激光加工（2课时）</w:t>
            </w:r>
          </w:p>
        </w:tc>
      </w:tr>
      <w:tr w:rsidR="00D818E3" w14:paraId="4471CAF3"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6DE6E3B2"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授课时间</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370F396E"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2023年XX月XX日（周X）10:00-11:30（理论30min+实践60min）</w:t>
            </w:r>
          </w:p>
        </w:tc>
      </w:tr>
      <w:tr w:rsidR="00D818E3" w14:paraId="4DF87E6A"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4AF2FA20"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授课地点</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CB69676"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智能制造</w:t>
            </w:r>
            <w:proofErr w:type="gramStart"/>
            <w:r>
              <w:rPr>
                <w:rFonts w:ascii="黑体" w:eastAsia="黑体" w:hAnsi="黑体" w:cs="黑体" w:hint="eastAsia"/>
                <w:sz w:val="28"/>
                <w:szCs w:val="28"/>
              </w:rPr>
              <w:t>实训楼</w:t>
            </w:r>
            <w:proofErr w:type="gramEnd"/>
            <w:r>
              <w:rPr>
                <w:rFonts w:ascii="黑体" w:eastAsia="黑体" w:hAnsi="黑体" w:cs="黑体" w:hint="eastAsia"/>
                <w:sz w:val="28"/>
                <w:szCs w:val="28"/>
              </w:rPr>
              <w:t>B203（理论课）激光加工实训室（实践课）</w:t>
            </w:r>
          </w:p>
        </w:tc>
      </w:tr>
      <w:tr w:rsidR="00D818E3" w14:paraId="58F18942"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33A41807"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授课课时</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14E24A3F"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2课时（含10min课间休息）</w:t>
            </w:r>
          </w:p>
        </w:tc>
      </w:tr>
      <w:tr w:rsidR="00D818E3" w14:paraId="32F188EC"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221EBB02"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授课对象</w:t>
            </w:r>
          </w:p>
        </w:tc>
        <w:tc>
          <w:tcPr>
            <w:tcW w:w="6073"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22FECC72"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智能制造2301-2306班（45人/组，6组）</w:t>
            </w:r>
          </w:p>
        </w:tc>
      </w:tr>
    </w:tbl>
    <w:p w14:paraId="068C2E00"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二、教学内容分析</w:t>
      </w:r>
    </w:p>
    <w:p w14:paraId="22DDC5BB"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（一）知识体系</w:t>
      </w:r>
    </w:p>
    <w:p w14:paraId="4E72A5EE"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激光加工基本原理</w:t>
      </w:r>
      <w:r>
        <w:rPr>
          <w:rFonts w:ascii="黑体" w:eastAsia="黑体" w:hAnsi="黑体" w:cs="黑体" w:hint="eastAsia"/>
          <w:sz w:val="28"/>
          <w:szCs w:val="28"/>
        </w:rPr>
        <w:t>：光热效应，即激光能量</w:t>
      </w:r>
      <w:proofErr w:type="gramStart"/>
      <w:r>
        <w:rPr>
          <w:rFonts w:ascii="黑体" w:eastAsia="黑体" w:hAnsi="黑体" w:cs="黑体" w:hint="eastAsia"/>
          <w:sz w:val="28"/>
          <w:szCs w:val="28"/>
        </w:rPr>
        <w:t>被材料</w:t>
      </w:r>
      <w:proofErr w:type="gramEnd"/>
      <w:r>
        <w:rPr>
          <w:rFonts w:ascii="黑体" w:eastAsia="黑体" w:hAnsi="黑体" w:cs="黑体" w:hint="eastAsia"/>
          <w:sz w:val="28"/>
          <w:szCs w:val="28"/>
        </w:rPr>
        <w:t>吸收转化为热能，使材料发生熔化、汽化等物理变化。讲解材料吸收率匹配的重要性，不同材料对激光的吸收特性不同，需选择合适波长的激光以实现高效加工。</w:t>
      </w:r>
    </w:p>
    <w:p w14:paraId="283CF4E8"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激光参数对加工效果的影响</w:t>
      </w:r>
      <w:r>
        <w:rPr>
          <w:rFonts w:ascii="黑体" w:eastAsia="黑体" w:hAnsi="黑体" w:cs="黑体" w:hint="eastAsia"/>
          <w:sz w:val="28"/>
          <w:szCs w:val="28"/>
        </w:rPr>
        <w:t>：详细介绍功率、频率、脉宽等参数。功率决定加工能量大小，影响加工速度和深度；频率影响单位时间内脉冲次数，与加工效率和表面质量相关；脉宽则影响能量作用时间，对热影响区大小有重要作用。</w:t>
      </w:r>
    </w:p>
    <w:p w14:paraId="00217043"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3.</w:t>
      </w:r>
      <w:r>
        <w:rPr>
          <w:rFonts w:ascii="黑体" w:eastAsia="黑体" w:hAnsi="黑体" w:cs="黑体" w:hint="eastAsia"/>
          <w:b/>
          <w:bCs/>
          <w:sz w:val="28"/>
          <w:szCs w:val="28"/>
        </w:rPr>
        <w:t>典型应用场景</w:t>
      </w:r>
      <w:r>
        <w:rPr>
          <w:rFonts w:ascii="黑体" w:eastAsia="黑体" w:hAnsi="黑体" w:cs="黑体" w:hint="eastAsia"/>
          <w:sz w:val="28"/>
          <w:szCs w:val="28"/>
        </w:rPr>
        <w:t>：分析刻印、切割、焊接等应用场景。刻印通过激光在材料表面形成永久性标记；切割利用高能量激光束熔化或汽化材料实现分离；焊接则是使材料局部熔化并连接在一起。</w:t>
      </w:r>
    </w:p>
    <w:p w14:paraId="126F604A" w14:textId="77777777" w:rsidR="00D818E3" w:rsidRDefault="00D818E3">
      <w:pPr>
        <w:pStyle w:val="3"/>
        <w:rPr>
          <w:rFonts w:ascii="黑体" w:eastAsia="黑体" w:hAnsi="黑体" w:cs="黑体" w:hint="eastAsia"/>
          <w:sz w:val="28"/>
          <w:szCs w:val="28"/>
        </w:rPr>
      </w:pPr>
    </w:p>
    <w:p w14:paraId="6564FC15"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lastRenderedPageBreak/>
        <w:t>（二）能力培养</w:t>
      </w:r>
    </w:p>
    <w:p w14:paraId="27C53193"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sz w:val="28"/>
          <w:szCs w:val="28"/>
        </w:rPr>
        <w:t>让学生能独立操作激光</w:t>
      </w:r>
      <w:proofErr w:type="gramStart"/>
      <w:r>
        <w:rPr>
          <w:rFonts w:ascii="黑体" w:eastAsia="黑体" w:hAnsi="黑体" w:cs="黑体" w:hint="eastAsia"/>
          <w:sz w:val="28"/>
          <w:szCs w:val="28"/>
        </w:rPr>
        <w:t>打标机</w:t>
      </w:r>
      <w:proofErr w:type="gramEnd"/>
      <w:r>
        <w:rPr>
          <w:rFonts w:ascii="黑体" w:eastAsia="黑体" w:hAnsi="黑体" w:cs="黑体" w:hint="eastAsia"/>
          <w:sz w:val="28"/>
          <w:szCs w:val="28"/>
        </w:rPr>
        <w:t>完成简单零件刻印任务，包括设备启动、参数设置、工件装夹、加工过程控制及成品检验等环节。</w:t>
      </w:r>
    </w:p>
    <w:p w14:paraId="1BCE628D"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sz w:val="28"/>
          <w:szCs w:val="28"/>
        </w:rPr>
        <w:t>培养学生能根据材料特性调整激光参数的能力，学会分析材料的光学和热学性能，通过实验和经验确定最佳加工参数。</w:t>
      </w:r>
    </w:p>
    <w:p w14:paraId="633F3F6D"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（三）</w:t>
      </w:r>
      <w:proofErr w:type="gramStart"/>
      <w:r>
        <w:rPr>
          <w:rFonts w:ascii="黑体" w:eastAsia="黑体" w:hAnsi="黑体" w:cs="黑体" w:hint="eastAsia"/>
          <w:sz w:val="28"/>
          <w:szCs w:val="28"/>
        </w:rPr>
        <w:t>思政映射</w:t>
      </w:r>
      <w:proofErr w:type="gramEnd"/>
    </w:p>
    <w:p w14:paraId="4D00CC6F"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激光技术突破案例</w:t>
      </w:r>
      <w:r>
        <w:rPr>
          <w:rFonts w:ascii="黑体" w:eastAsia="黑体" w:hAnsi="黑体" w:cs="黑体" w:hint="eastAsia"/>
          <w:sz w:val="28"/>
          <w:szCs w:val="28"/>
        </w:rPr>
        <w:t>：讲述国产光纤激光器打破国外垄断的历程，</w:t>
      </w:r>
      <w:proofErr w:type="gramStart"/>
      <w:r>
        <w:rPr>
          <w:rFonts w:ascii="黑体" w:eastAsia="黑体" w:hAnsi="黑体" w:cs="黑体" w:hint="eastAsia"/>
          <w:sz w:val="28"/>
          <w:szCs w:val="28"/>
        </w:rPr>
        <w:t>如锐科激光</w:t>
      </w:r>
      <w:proofErr w:type="gramEnd"/>
      <w:r>
        <w:rPr>
          <w:rFonts w:ascii="黑体" w:eastAsia="黑体" w:hAnsi="黑体" w:cs="黑体" w:hint="eastAsia"/>
          <w:sz w:val="28"/>
          <w:szCs w:val="28"/>
        </w:rPr>
        <w:t>等企业的发展，激发学生的民族自豪感和创新精神。</w:t>
      </w:r>
    </w:p>
    <w:p w14:paraId="4306DB01"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安全生产意识培养</w:t>
      </w:r>
      <w:r>
        <w:rPr>
          <w:rFonts w:ascii="黑体" w:eastAsia="黑体" w:hAnsi="黑体" w:cs="黑体" w:hint="eastAsia"/>
          <w:sz w:val="28"/>
          <w:szCs w:val="28"/>
        </w:rPr>
        <w:t>：强调激光防护规范，如佩戴防护眼镜、设置安全区域等，培养学生的安全生产责任意识。</w:t>
      </w:r>
    </w:p>
    <w:p w14:paraId="54BF0911"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三、教材与资源</w:t>
      </w:r>
    </w:p>
    <w:p w14:paraId="40419305"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（一）主教材</w:t>
      </w:r>
    </w:p>
    <w:p w14:paraId="5EF58DDF"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《先进制造技术导论》（XX出版社，P102-108，激光加工技术章节）</w:t>
      </w:r>
    </w:p>
    <w:p w14:paraId="223FEA02"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（二）数字化资源</w:t>
      </w:r>
    </w:p>
    <w:p w14:paraId="53CE2FB6" w14:textId="09929E23"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虚拟仿真平台</w:t>
      </w:r>
      <w:r>
        <w:rPr>
          <w:rFonts w:ascii="黑体" w:eastAsia="黑体" w:hAnsi="黑体" w:cs="黑体" w:hint="eastAsia"/>
          <w:sz w:val="28"/>
          <w:szCs w:val="28"/>
        </w:rPr>
        <w:t>：激光参数调节模拟系统（https://laser-</w:t>
      </w:r>
      <w:hyperlink r:id="rId5" w:history="1">
        <w:r>
          <w:rPr>
            <w:rStyle w:val="a8"/>
            <w:rFonts w:ascii="黑体" w:eastAsia="黑体" w:hAnsi="黑体" w:cs="黑体" w:hint="eastAsia"/>
            <w:color w:val="auto"/>
            <w:sz w:val="28"/>
            <w:szCs w:val="28"/>
          </w:rPr>
          <w:t>simulink.com</w:t>
        </w:r>
      </w:hyperlink>
      <w:r>
        <w:rPr>
          <w:rFonts w:ascii="黑体" w:eastAsia="黑体" w:hAnsi="黑体" w:cs="黑体" w:hint="eastAsia"/>
          <w:sz w:val="28"/>
          <w:szCs w:val="28"/>
        </w:rPr>
        <w:t>），学生可在虚拟环境中进行参数调节实验，观察加工效果变化，加深对参数作用的理解。</w:t>
      </w:r>
    </w:p>
    <w:p w14:paraId="5A66F8A3"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视频案例</w:t>
      </w:r>
      <w:r>
        <w:rPr>
          <w:rFonts w:ascii="黑体" w:eastAsia="黑体" w:hAnsi="黑体" w:cs="黑体" w:hint="eastAsia"/>
          <w:sz w:val="28"/>
          <w:szCs w:val="28"/>
        </w:rPr>
        <w:t>：大族激光在新能源汽车电池焊接中的应用，展示激光加工在实际工业生产中的应用场景和技术优势。</w:t>
      </w:r>
    </w:p>
    <w:p w14:paraId="716615D0"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（三）实物教具</w:t>
      </w:r>
    </w:p>
    <w:p w14:paraId="66B6746C"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二氧化碳</w:t>
      </w:r>
      <w:proofErr w:type="gramStart"/>
      <w:r>
        <w:rPr>
          <w:rFonts w:ascii="黑体" w:eastAsia="黑体" w:hAnsi="黑体" w:cs="黑体" w:hint="eastAsia"/>
          <w:b/>
          <w:bCs/>
          <w:sz w:val="28"/>
          <w:szCs w:val="28"/>
        </w:rPr>
        <w:t>激光打标机</w:t>
      </w:r>
      <w:proofErr w:type="gramEnd"/>
      <w:r>
        <w:rPr>
          <w:rFonts w:ascii="黑体" w:eastAsia="黑体" w:hAnsi="黑体" w:cs="黑体" w:hint="eastAsia"/>
          <w:sz w:val="28"/>
          <w:szCs w:val="28"/>
        </w:rPr>
        <w:t>：用于学生实际操作，了解激光加工设备的结构和工作原理。</w:t>
      </w:r>
    </w:p>
    <w:p w14:paraId="10B63AE6"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有机玻璃/金属试片</w:t>
      </w:r>
      <w:r>
        <w:rPr>
          <w:rFonts w:ascii="黑体" w:eastAsia="黑体" w:hAnsi="黑体" w:cs="黑体" w:hint="eastAsia"/>
          <w:sz w:val="28"/>
          <w:szCs w:val="28"/>
        </w:rPr>
        <w:t>：作为加工材料，供学生进行刻印等实验操作。</w:t>
      </w:r>
    </w:p>
    <w:p w14:paraId="0AA16CB4"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3.</w:t>
      </w:r>
      <w:r>
        <w:rPr>
          <w:rFonts w:ascii="黑体" w:eastAsia="黑体" w:hAnsi="黑体" w:cs="黑体" w:hint="eastAsia"/>
          <w:b/>
          <w:bCs/>
          <w:sz w:val="28"/>
          <w:szCs w:val="28"/>
        </w:rPr>
        <w:t>防护眼镜</w:t>
      </w:r>
      <w:r>
        <w:rPr>
          <w:rFonts w:ascii="黑体" w:eastAsia="黑体" w:hAnsi="黑体" w:cs="黑体" w:hint="eastAsia"/>
          <w:sz w:val="28"/>
          <w:szCs w:val="28"/>
        </w:rPr>
        <w:t>：保障学生在操作激光设备时的眼睛安全。</w:t>
      </w:r>
    </w:p>
    <w:p w14:paraId="56AE0970"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四、学情分析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60"/>
        <w:gridCol w:w="6055"/>
      </w:tblGrid>
      <w:tr w:rsidR="00D818E3" w14:paraId="37AA9A1E"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C6E0F00"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lastRenderedPageBreak/>
              <w:t>分析维度</w:t>
            </w:r>
          </w:p>
        </w:tc>
        <w:tc>
          <w:tcPr>
            <w:tcW w:w="6055"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46E7D33"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具体表现</w:t>
            </w:r>
          </w:p>
        </w:tc>
      </w:tr>
      <w:tr w:rsidR="00D818E3" w14:paraId="46243DDD"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1A696A62"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认知基础</w:t>
            </w:r>
          </w:p>
        </w:tc>
        <w:tc>
          <w:tcPr>
            <w:tcW w:w="6055"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50718CF7"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已掌握材料加工基本概念，但对激光加工原理缺乏深度理解</w:t>
            </w:r>
          </w:p>
        </w:tc>
      </w:tr>
      <w:tr w:rsidR="00D818E3" w14:paraId="1914C7FF"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0AB1538"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技能水平</w:t>
            </w:r>
          </w:p>
        </w:tc>
        <w:tc>
          <w:tcPr>
            <w:tcW w:w="6055"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35DEB9D4"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50%学生具备基础设备操作经验，但对参数优化能力较弱</w:t>
            </w:r>
          </w:p>
        </w:tc>
      </w:tr>
      <w:tr w:rsidR="00D818E3" w14:paraId="4D107DCD"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45057F5C"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学习特点</w:t>
            </w:r>
          </w:p>
        </w:tc>
        <w:tc>
          <w:tcPr>
            <w:tcW w:w="6055"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F0B44BA"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对高精度加工技术兴趣浓厚，需强化理论与实践结合能力</w:t>
            </w:r>
          </w:p>
        </w:tc>
      </w:tr>
    </w:tbl>
    <w:p w14:paraId="0D6AF67A"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五、教学目标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60"/>
        <w:gridCol w:w="6037"/>
      </w:tblGrid>
      <w:tr w:rsidR="00D818E3" w14:paraId="6AC885DF"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2C0DD21C"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维度</w:t>
            </w:r>
          </w:p>
        </w:tc>
        <w:tc>
          <w:tcPr>
            <w:tcW w:w="6037"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3379C009"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具体目标</w:t>
            </w:r>
          </w:p>
        </w:tc>
      </w:tr>
      <w:tr w:rsidR="00D818E3" w14:paraId="7BCFDDC8"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5B74A496"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知识目标</w:t>
            </w:r>
          </w:p>
        </w:tc>
        <w:tc>
          <w:tcPr>
            <w:tcW w:w="6037"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6DFD4D9C"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1.阐述激光加工原理及核心参数定义2.列举激光技术在制造业中的典型应用</w:t>
            </w:r>
          </w:p>
        </w:tc>
      </w:tr>
      <w:tr w:rsidR="00D818E3" w14:paraId="3855300C"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5385B9F9"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能力目标</w:t>
            </w:r>
          </w:p>
        </w:tc>
        <w:tc>
          <w:tcPr>
            <w:tcW w:w="6037"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1716771D"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1.完成激光</w:t>
            </w:r>
            <w:proofErr w:type="gramStart"/>
            <w:r>
              <w:rPr>
                <w:rFonts w:ascii="黑体" w:eastAsia="黑体" w:hAnsi="黑体" w:cs="黑体" w:hint="eastAsia"/>
                <w:sz w:val="28"/>
                <w:szCs w:val="28"/>
              </w:rPr>
              <w:t>打标机</w:t>
            </w:r>
            <w:proofErr w:type="gramEnd"/>
            <w:r>
              <w:rPr>
                <w:rFonts w:ascii="黑体" w:eastAsia="黑体" w:hAnsi="黑体" w:cs="黑体" w:hint="eastAsia"/>
                <w:sz w:val="28"/>
                <w:szCs w:val="28"/>
              </w:rPr>
              <w:t>操作及参数设置2.分析材料吸收率与加工效果的关联性</w:t>
            </w:r>
          </w:p>
        </w:tc>
      </w:tr>
      <w:tr w:rsidR="00D818E3" w14:paraId="6924B8A6"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418659D0"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素质目标</w:t>
            </w:r>
          </w:p>
        </w:tc>
        <w:tc>
          <w:tcPr>
            <w:tcW w:w="6037"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69539638"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1.树立安全生产责任意识2.培养精密加工中的细节把控能力</w:t>
            </w:r>
          </w:p>
        </w:tc>
      </w:tr>
    </w:tbl>
    <w:p w14:paraId="55AA38B5"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六、教学重点与难点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60"/>
        <w:gridCol w:w="6019"/>
      </w:tblGrid>
      <w:tr w:rsidR="00D818E3" w14:paraId="625BCF8C"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CFF2CA7"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项目</w:t>
            </w:r>
          </w:p>
        </w:tc>
        <w:tc>
          <w:tcPr>
            <w:tcW w:w="6019"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48E89D48"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内容</w:t>
            </w:r>
          </w:p>
        </w:tc>
      </w:tr>
      <w:tr w:rsidR="00D818E3" w14:paraId="13112FEB"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7BA21508"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教学重点</w:t>
            </w:r>
          </w:p>
        </w:tc>
        <w:tc>
          <w:tcPr>
            <w:tcW w:w="6019"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6354D724"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1.激光参数（功率/频率/脉宽）的协同调节方法2.材料吸收率匹配的工程实践</w:t>
            </w:r>
          </w:p>
        </w:tc>
      </w:tr>
      <w:tr w:rsidR="00D818E3" w14:paraId="11771481" w14:textId="77777777">
        <w:tc>
          <w:tcPr>
            <w:tcW w:w="2760"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03D8E24A"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教学难点</w:t>
            </w:r>
          </w:p>
        </w:tc>
        <w:tc>
          <w:tcPr>
            <w:tcW w:w="6019"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tcPr>
          <w:p w14:paraId="2439CB85" w14:textId="77777777" w:rsidR="00D818E3" w:rsidRDefault="00000000">
            <w:pPr>
              <w:pStyle w:val="Style13"/>
              <w:rPr>
                <w:rFonts w:ascii="黑体" w:eastAsia="黑体" w:hAnsi="黑体" w:cs="黑体" w:hint="eastAsia"/>
                <w:sz w:val="28"/>
                <w:szCs w:val="28"/>
              </w:rPr>
            </w:pPr>
            <w:r>
              <w:rPr>
                <w:rFonts w:ascii="黑体" w:eastAsia="黑体" w:hAnsi="黑体" w:cs="黑体" w:hint="eastAsia"/>
                <w:sz w:val="28"/>
                <w:szCs w:val="28"/>
              </w:rPr>
              <w:t>1.激光聚焦控制与加工精度的关系2.</w:t>
            </w:r>
            <w:proofErr w:type="gramStart"/>
            <w:r>
              <w:rPr>
                <w:rFonts w:ascii="黑体" w:eastAsia="黑体" w:hAnsi="黑体" w:cs="黑体" w:hint="eastAsia"/>
                <w:sz w:val="28"/>
                <w:szCs w:val="28"/>
              </w:rPr>
              <w:t>多材料</w:t>
            </w:r>
            <w:proofErr w:type="gramEnd"/>
            <w:r>
              <w:rPr>
                <w:rFonts w:ascii="黑体" w:eastAsia="黑体" w:hAnsi="黑体" w:cs="黑体" w:hint="eastAsia"/>
                <w:sz w:val="28"/>
                <w:szCs w:val="28"/>
              </w:rPr>
              <w:t>复合加工中的参数动态调整</w:t>
            </w:r>
          </w:p>
        </w:tc>
      </w:tr>
    </w:tbl>
    <w:p w14:paraId="0911A782"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lastRenderedPageBreak/>
        <w:t>七、教学策略</w:t>
      </w:r>
    </w:p>
    <w:p w14:paraId="76B21B4B"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（一）教学方法</w:t>
      </w:r>
    </w:p>
    <w:p w14:paraId="4DFD257E"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案例教学法</w:t>
      </w:r>
      <w:r>
        <w:rPr>
          <w:rFonts w:ascii="黑体" w:eastAsia="黑体" w:hAnsi="黑体" w:cs="黑体" w:hint="eastAsia"/>
          <w:sz w:val="28"/>
          <w:szCs w:val="28"/>
        </w:rPr>
        <w:t>：深入分析大族激光在电池焊接中的技术突破案例，包括面临的问题、解决方案及取得的成果，引导学生思考和讨论。</w:t>
      </w:r>
    </w:p>
    <w:p w14:paraId="0188579E"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任务驱动法</w:t>
      </w:r>
      <w:r>
        <w:rPr>
          <w:rFonts w:ascii="黑体" w:eastAsia="黑体" w:hAnsi="黑体" w:cs="黑体" w:hint="eastAsia"/>
          <w:sz w:val="28"/>
          <w:szCs w:val="28"/>
        </w:rPr>
        <w:t>：组织学生分组完成“个性化铭牌刻印”项目，明确任务要求和评价标准，让学生在实践中掌握知识和技能。</w:t>
      </w:r>
    </w:p>
    <w:p w14:paraId="5CCE84F8"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3.</w:t>
      </w:r>
      <w:r>
        <w:rPr>
          <w:rFonts w:ascii="黑体" w:eastAsia="黑体" w:hAnsi="黑体" w:cs="黑体" w:hint="eastAsia"/>
          <w:b/>
          <w:bCs/>
          <w:sz w:val="28"/>
          <w:szCs w:val="28"/>
        </w:rPr>
        <w:t>对比实验法</w:t>
      </w:r>
      <w:r>
        <w:rPr>
          <w:rFonts w:ascii="黑体" w:eastAsia="黑体" w:hAnsi="黑体" w:cs="黑体" w:hint="eastAsia"/>
          <w:sz w:val="28"/>
          <w:szCs w:val="28"/>
        </w:rPr>
        <w:t>：进行不同参数下刻印效果对比分析，设置多组实验，改变功率、频率、脉宽等参数，让学生观察和记录加工效果差异。</w:t>
      </w:r>
    </w:p>
    <w:p w14:paraId="031F2515"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（二）教学手段</w:t>
      </w:r>
    </w:p>
    <w:p w14:paraId="57AECDA4"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AR技术</w:t>
      </w:r>
      <w:r>
        <w:rPr>
          <w:rFonts w:ascii="黑体" w:eastAsia="黑体" w:hAnsi="黑体" w:cs="黑体" w:hint="eastAsia"/>
          <w:sz w:val="28"/>
          <w:szCs w:val="28"/>
        </w:rPr>
        <w:t>：学生扫描设备二维码，通过手机等终端查看激光光路动态演示，直观了解激光在设备中的传播路径和聚焦过程。</w:t>
      </w:r>
    </w:p>
    <w:p w14:paraId="7EE8A584"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智慧课堂</w:t>
      </w:r>
      <w:r>
        <w:rPr>
          <w:rFonts w:ascii="黑体" w:eastAsia="黑体" w:hAnsi="黑体" w:cs="黑体" w:hint="eastAsia"/>
          <w:sz w:val="28"/>
          <w:szCs w:val="28"/>
        </w:rPr>
        <w:t>：利用智慧课堂系统实时采集学生操作数据，如参数设置、加工时间、成品质量等，生成优化建议反馈给学生。</w:t>
      </w:r>
    </w:p>
    <w:p w14:paraId="47B0CD92"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八、教学实施流程</w:t>
      </w:r>
    </w:p>
    <w:p w14:paraId="19BCB44F"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（一）课前准备（15分钟）</w:t>
      </w:r>
    </w:p>
    <w:p w14:paraId="2C2D78FF"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教师活动</w:t>
      </w:r>
    </w:p>
    <w:p w14:paraId="4FE4019A"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发布预习资料，包括激光加工安全规范视频和参数调节手册，通过学习平台推送给学生。</w:t>
      </w:r>
    </w:p>
    <w:p w14:paraId="41F69576"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准备实训耗材，如金属/有机玻璃试片、标准刻印模板，确保数量充足且质量合格。</w:t>
      </w:r>
    </w:p>
    <w:p w14:paraId="60617EAF"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学生活动</w:t>
      </w:r>
    </w:p>
    <w:p w14:paraId="5E9C64C0"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完成在线安全知识测试，测试内容围绕激光加工安全规范，正确率≥90%方可进入实训环节。</w:t>
      </w:r>
    </w:p>
    <w:p w14:paraId="77F2EE61"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提交预习报告，要求列举3种激光工业应用场景，并简要说明其工作原理。</w:t>
      </w:r>
    </w:p>
    <w:p w14:paraId="54A75EE0"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lastRenderedPageBreak/>
        <w:t>（二）课中实施（80分钟）</w:t>
      </w:r>
    </w:p>
    <w:p w14:paraId="055BE8C7"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环节1：原理与安全导入（20分钟）</w:t>
      </w:r>
    </w:p>
    <w:p w14:paraId="2E533B08"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教师活动</w:t>
      </w:r>
    </w:p>
    <w:p w14:paraId="50898843"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播放激光加工原理三维动画，详细讲解光热效应的产生过程和原理，结合示意图进行说明。</w:t>
      </w:r>
    </w:p>
    <w:p w14:paraId="5D639FD6"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现场演示防护设备正确佩戴方法，包括防护眼镜、防护服等，强调安全注意事项。</w:t>
      </w:r>
    </w:p>
    <w:p w14:paraId="4A0C57D5"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学生活动</w:t>
      </w:r>
    </w:p>
    <w:p w14:paraId="08973E30"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根据动画和讲解内容，绘制激光加工流程图，梳理激光加工的基本步骤和能量转换过程。</w:t>
      </w:r>
    </w:p>
    <w:p w14:paraId="20F2105D"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打开虚拟激光参数调节系统，进行模拟操作，初步了解参数调节对加工效果的影响。</w:t>
      </w:r>
    </w:p>
    <w:p w14:paraId="6D895BE6"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环节2：参数与实操训练（40分钟）</w:t>
      </w:r>
    </w:p>
    <w:p w14:paraId="4A3E15E0"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教师活动</w:t>
      </w:r>
    </w:p>
    <w:p w14:paraId="44EDA7E4"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示范二氧化碳激光</w:t>
      </w:r>
      <w:proofErr w:type="gramStart"/>
      <w:r>
        <w:rPr>
          <w:rFonts w:ascii="黑体" w:eastAsia="黑体" w:hAnsi="黑体" w:cs="黑体" w:hint="eastAsia"/>
          <w:sz w:val="28"/>
          <w:szCs w:val="28"/>
        </w:rPr>
        <w:t>打标机</w:t>
      </w:r>
      <w:proofErr w:type="gramEnd"/>
      <w:r>
        <w:rPr>
          <w:rFonts w:ascii="黑体" w:eastAsia="黑体" w:hAnsi="黑体" w:cs="黑体" w:hint="eastAsia"/>
          <w:sz w:val="28"/>
          <w:szCs w:val="28"/>
        </w:rPr>
        <w:t>操作流程，从设备开机、归零、参数设置到工件装夹、启动加工，</w:t>
      </w:r>
      <w:proofErr w:type="gramStart"/>
      <w:r>
        <w:rPr>
          <w:rFonts w:ascii="黑体" w:eastAsia="黑体" w:hAnsi="黑体" w:cs="黑体" w:hint="eastAsia"/>
          <w:sz w:val="28"/>
          <w:szCs w:val="28"/>
        </w:rPr>
        <w:t>一</w:t>
      </w:r>
      <w:proofErr w:type="gramEnd"/>
      <w:r>
        <w:rPr>
          <w:rFonts w:ascii="黑体" w:eastAsia="黑体" w:hAnsi="黑体" w:cs="黑体" w:hint="eastAsia"/>
          <w:sz w:val="28"/>
          <w:szCs w:val="28"/>
        </w:rPr>
        <w:t>步步进行演示。</w:t>
      </w:r>
    </w:p>
    <w:p w14:paraId="5E1927BE"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以有机玻璃刻印为例，指导学生进行参数优化，讲解如何根据材料特性和加工要求调整功率、频率、脉宽等参数。</w:t>
      </w:r>
    </w:p>
    <w:p w14:paraId="2C16DCC8"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学生活动</w:t>
      </w:r>
    </w:p>
    <w:p w14:paraId="09D09543"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分组完成“铭牌刻印”任务，每组学生需调整3组不同参数，观察并对比刻印效果。</w:t>
      </w:r>
    </w:p>
    <w:p w14:paraId="2F35C684"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记录加工时间、刻印深度等数据，填写实验记录表，并对数据进行分析，总结参数与加工效果的关系。</w:t>
      </w:r>
    </w:p>
    <w:p w14:paraId="2726102A"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3.</w:t>
      </w:r>
      <w:r>
        <w:rPr>
          <w:rFonts w:ascii="黑体" w:eastAsia="黑体" w:hAnsi="黑体" w:cs="黑体" w:hint="eastAsia"/>
          <w:b/>
          <w:bCs/>
          <w:sz w:val="28"/>
          <w:szCs w:val="28"/>
        </w:rPr>
        <w:t>环节3：案例</w:t>
      </w:r>
      <w:proofErr w:type="gramStart"/>
      <w:r>
        <w:rPr>
          <w:rFonts w:ascii="黑体" w:eastAsia="黑体" w:hAnsi="黑体" w:cs="黑体" w:hint="eastAsia"/>
          <w:b/>
          <w:bCs/>
          <w:sz w:val="28"/>
          <w:szCs w:val="28"/>
        </w:rPr>
        <w:t>与思政升华</w:t>
      </w:r>
      <w:proofErr w:type="gramEnd"/>
      <w:r>
        <w:rPr>
          <w:rFonts w:ascii="黑体" w:eastAsia="黑体" w:hAnsi="黑体" w:cs="黑体" w:hint="eastAsia"/>
          <w:b/>
          <w:bCs/>
          <w:sz w:val="28"/>
          <w:szCs w:val="28"/>
        </w:rPr>
        <w:t>（20分钟）</w:t>
      </w:r>
    </w:p>
    <w:p w14:paraId="0F56C012"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教师活动</w:t>
      </w:r>
    </w:p>
    <w:p w14:paraId="4D3212DD"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展示国产激光器突破案例，</w:t>
      </w:r>
      <w:proofErr w:type="gramStart"/>
      <w:r>
        <w:rPr>
          <w:rFonts w:ascii="黑体" w:eastAsia="黑体" w:hAnsi="黑体" w:cs="黑体" w:hint="eastAsia"/>
          <w:sz w:val="28"/>
          <w:szCs w:val="28"/>
        </w:rPr>
        <w:t>如锐科激光</w:t>
      </w:r>
      <w:proofErr w:type="gramEnd"/>
      <w:r>
        <w:rPr>
          <w:rFonts w:ascii="黑体" w:eastAsia="黑体" w:hAnsi="黑体" w:cs="黑体" w:hint="eastAsia"/>
          <w:sz w:val="28"/>
          <w:szCs w:val="28"/>
        </w:rPr>
        <w:t>与国际品牌在技术、市场等方面的对比分析，强调自主创新的重要性。</w:t>
      </w:r>
    </w:p>
    <w:p w14:paraId="09E0AD6D"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lastRenderedPageBreak/>
        <w:t>结合真实事故案例，总结安全生产规范，如违规操作导致的激光灼伤等案例，敲响安全警钟。</w:t>
      </w:r>
    </w:p>
    <w:p w14:paraId="15D046AD"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b/>
          <w:bCs/>
          <w:sz w:val="28"/>
          <w:szCs w:val="28"/>
        </w:rPr>
        <w:t>学生活动</w:t>
      </w:r>
    </w:p>
    <w:p w14:paraId="4E01EEE3"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撰写反思报告，阐述技术突破对制造业的意义，从产业发展、国家安全、个人职业发展等角度进行思考。</w:t>
      </w:r>
    </w:p>
    <w:p w14:paraId="00446882" w14:textId="77777777" w:rsidR="00D818E3" w:rsidRDefault="00000000">
      <w:pPr>
        <w:pStyle w:val="Style13"/>
        <w:numPr>
          <w:ilvl w:val="2"/>
          <w:numId w:val="1"/>
        </w:numPr>
        <w:rPr>
          <w:rFonts w:ascii="黑体" w:eastAsia="黑体" w:hAnsi="黑体" w:cs="黑体" w:hint="eastAsia"/>
          <w:sz w:val="28"/>
          <w:szCs w:val="28"/>
        </w:rPr>
      </w:pPr>
      <w:r>
        <w:rPr>
          <w:rFonts w:ascii="黑体" w:eastAsia="黑体" w:hAnsi="黑体" w:cs="黑体" w:hint="eastAsia"/>
          <w:sz w:val="28"/>
          <w:szCs w:val="28"/>
        </w:rPr>
        <w:t>签署《激光设备安全操作承诺书》，明确自己在操作激光设备时应遵守的安全规范和责任。</w:t>
      </w:r>
    </w:p>
    <w:p w14:paraId="792F672B"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（三）课后拓展（60分钟）</w:t>
      </w:r>
    </w:p>
    <w:p w14:paraId="048557D1"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实践任务</w:t>
      </w:r>
    </w:p>
    <w:p w14:paraId="2CDD91FE"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调研本地企业激光加工产线，如比亚</w:t>
      </w:r>
      <w:proofErr w:type="gramStart"/>
      <w:r>
        <w:rPr>
          <w:rFonts w:ascii="黑体" w:eastAsia="黑体" w:hAnsi="黑体" w:cs="黑体" w:hint="eastAsia"/>
          <w:sz w:val="28"/>
          <w:szCs w:val="28"/>
        </w:rPr>
        <w:t>迪</w:t>
      </w:r>
      <w:proofErr w:type="gramEnd"/>
      <w:r>
        <w:rPr>
          <w:rFonts w:ascii="黑体" w:eastAsia="黑体" w:hAnsi="黑体" w:cs="黑体" w:hint="eastAsia"/>
          <w:sz w:val="28"/>
          <w:szCs w:val="28"/>
        </w:rPr>
        <w:t>激光焊接车间，要求学生观察车间布局、设备运行情况、加工工艺等。</w:t>
      </w:r>
    </w:p>
    <w:p w14:paraId="3CED4B68" w14:textId="77777777" w:rsidR="00D818E3" w:rsidRDefault="00000000">
      <w:pPr>
        <w:pStyle w:val="Style13"/>
        <w:numPr>
          <w:ilvl w:val="1"/>
          <w:numId w:val="1"/>
        </w:numPr>
        <w:rPr>
          <w:rFonts w:ascii="黑体" w:eastAsia="黑体" w:hAnsi="黑体" w:cs="黑体" w:hint="eastAsia"/>
          <w:sz w:val="28"/>
          <w:szCs w:val="28"/>
        </w:rPr>
      </w:pPr>
      <w:r>
        <w:rPr>
          <w:rFonts w:ascii="黑体" w:eastAsia="黑体" w:hAnsi="黑体" w:cs="黑体" w:hint="eastAsia"/>
          <w:sz w:val="28"/>
          <w:szCs w:val="28"/>
        </w:rPr>
        <w:t>提交《激光技术应用调研报告》，包括调研目的、方法、结果及分析，提出自己的见解和建议。</w:t>
      </w:r>
    </w:p>
    <w:p w14:paraId="7998130F"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线上学习</w:t>
      </w:r>
    </w:p>
    <w:p w14:paraId="5A81A718" w14:textId="77777777" w:rsidR="00D818E3" w:rsidRDefault="00000000">
      <w:pPr>
        <w:pStyle w:val="Style13"/>
        <w:numPr>
          <w:ilvl w:val="1"/>
          <w:numId w:val="1"/>
        </w:numPr>
        <w:rPr>
          <w:rFonts w:ascii="黑体" w:eastAsia="黑体" w:hAnsi="黑体" w:cs="黑体" w:hint="eastAsia"/>
          <w:sz w:val="28"/>
          <w:szCs w:val="28"/>
        </w:rPr>
      </w:pPr>
      <w:proofErr w:type="gramStart"/>
      <w:r>
        <w:rPr>
          <w:rFonts w:ascii="黑体" w:eastAsia="黑体" w:hAnsi="黑体" w:cs="黑体" w:hint="eastAsia"/>
          <w:sz w:val="28"/>
          <w:szCs w:val="28"/>
        </w:rPr>
        <w:t>完成慕课《激光加工前沿技术》</w:t>
      </w:r>
      <w:proofErr w:type="gramEnd"/>
      <w:r>
        <w:rPr>
          <w:rFonts w:ascii="黑体" w:eastAsia="黑体" w:hAnsi="黑体" w:cs="黑体" w:hint="eastAsia"/>
          <w:sz w:val="28"/>
          <w:szCs w:val="28"/>
        </w:rPr>
        <w:t>（智慧职教平台，1课时），学习激光加工领域的最新技术和发展趋势，拓宽知识面。</w:t>
      </w:r>
    </w:p>
    <w:p w14:paraId="280DC3AC"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九、教学评价</w:t>
      </w:r>
    </w:p>
    <w:p w14:paraId="0259AD02"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（一）过程性评价（70%）</w:t>
      </w:r>
    </w:p>
    <w:tbl>
      <w:tblPr>
        <w:tblStyle w:val="a7"/>
        <w:tblW w:w="0" w:type="auto"/>
        <w:tblLook w:val="04A0" w:firstRow="1" w:lastRow="0" w:firstColumn="1" w:lastColumn="0" w:noHBand="0" w:noVBand="1"/>
      </w:tblPr>
      <w:tblGrid>
        <w:gridCol w:w="9016"/>
      </w:tblGrid>
      <w:tr w:rsidR="00D818E3" w14:paraId="59B68F73" w14:textId="77777777">
        <w:tc>
          <w:tcPr>
            <w:tcW w:w="9242" w:type="dxa"/>
          </w:tcPr>
          <w:p w14:paraId="416989DE" w14:textId="77777777" w:rsidR="00D818E3" w:rsidRDefault="00000000">
            <w:pPr>
              <w:pStyle w:val="Style13"/>
              <w:ind w:left="288" w:hanging="288"/>
              <w:rPr>
                <w:rFonts w:ascii="黑体" w:eastAsia="黑体" w:hAnsi="黑体" w:cs="黑体" w:hint="eastAsia"/>
              </w:rPr>
            </w:pPr>
            <w:r>
              <w:rPr>
                <w:rFonts w:ascii="黑体" w:eastAsia="黑体" w:hAnsi="黑体" w:cs="黑体" w:hint="eastAsia"/>
              </w:rPr>
              <w:t>1.</w:t>
            </w:r>
            <w:r>
              <w:rPr>
                <w:rFonts w:ascii="黑体" w:eastAsia="黑体" w:hAnsi="黑体" w:cs="黑体" w:hint="eastAsia"/>
                <w:b/>
                <w:bCs/>
                <w:sz w:val="28"/>
                <w:szCs w:val="28"/>
              </w:rPr>
              <w:t>课堂实操（30%）</w:t>
            </w:r>
            <w:r>
              <w:rPr>
                <w:rFonts w:ascii="黑体" w:eastAsia="黑体" w:hAnsi="黑体" w:cs="黑体" w:hint="eastAsia"/>
                <w:sz w:val="28"/>
                <w:szCs w:val="28"/>
              </w:rPr>
              <w:t>：根据设备操作规范性、刻印成品质量进行评价。操作规范包括设备启动、参数设置、工件装夹、加工过程控制等环节；刻印成品质量从标记清晰度、深度均匀性、表面粗糙度等方面进行评估。</w:t>
            </w:r>
          </w:p>
        </w:tc>
      </w:tr>
      <w:tr w:rsidR="00D818E3" w14:paraId="6399338C" w14:textId="77777777">
        <w:tc>
          <w:tcPr>
            <w:tcW w:w="9242" w:type="dxa"/>
          </w:tcPr>
          <w:p w14:paraId="5B015853" w14:textId="77777777" w:rsidR="00D818E3" w:rsidRDefault="00000000">
            <w:pPr>
              <w:pStyle w:val="Style13"/>
              <w:ind w:left="288" w:hanging="288"/>
              <w:rPr>
                <w:rFonts w:ascii="黑体" w:eastAsia="黑体" w:hAnsi="黑体" w:cs="黑体" w:hint="eastAsia"/>
              </w:rPr>
            </w:pPr>
            <w:r>
              <w:rPr>
                <w:rFonts w:ascii="黑体" w:eastAsia="黑体" w:hAnsi="黑体" w:cs="黑体" w:hint="eastAsia"/>
              </w:rPr>
              <w:t>2.</w:t>
            </w:r>
            <w:r>
              <w:rPr>
                <w:rFonts w:ascii="黑体" w:eastAsia="黑体" w:hAnsi="黑体" w:cs="黑体" w:hint="eastAsia"/>
                <w:b/>
                <w:bCs/>
                <w:sz w:val="28"/>
                <w:szCs w:val="28"/>
              </w:rPr>
              <w:t>参数分析报告（20%）</w:t>
            </w:r>
            <w:r>
              <w:rPr>
                <w:rFonts w:ascii="黑体" w:eastAsia="黑体" w:hAnsi="黑体" w:cs="黑体" w:hint="eastAsia"/>
                <w:sz w:val="28"/>
                <w:szCs w:val="28"/>
              </w:rPr>
              <w:t>：评价数据完整性与结论合理性。数据完整性要求学生准确记录实验过程中的各项数据，如不同参数下的加工时间、刻印深度等；结论合理性考察学生能否根据数据总结出参数与加工效果的正确关系。</w:t>
            </w:r>
          </w:p>
        </w:tc>
      </w:tr>
      <w:tr w:rsidR="00D818E3" w14:paraId="70B4EC1F" w14:textId="77777777">
        <w:tc>
          <w:tcPr>
            <w:tcW w:w="9242" w:type="dxa"/>
          </w:tcPr>
          <w:p w14:paraId="68562616" w14:textId="77777777" w:rsidR="00D818E3" w:rsidRDefault="00000000">
            <w:pPr>
              <w:pStyle w:val="Style13"/>
              <w:ind w:left="288" w:hanging="288"/>
              <w:rPr>
                <w:rFonts w:ascii="黑体" w:eastAsia="黑体" w:hAnsi="黑体" w:cs="黑体" w:hint="eastAsia"/>
              </w:rPr>
            </w:pPr>
            <w:r>
              <w:rPr>
                <w:rFonts w:ascii="黑体" w:eastAsia="黑体" w:hAnsi="黑体" w:cs="黑体" w:hint="eastAsia"/>
              </w:rPr>
              <w:lastRenderedPageBreak/>
              <w:t>3.</w:t>
            </w:r>
            <w:r>
              <w:rPr>
                <w:rFonts w:ascii="黑体" w:eastAsia="黑体" w:hAnsi="黑体" w:cs="黑体" w:hint="eastAsia"/>
                <w:b/>
                <w:bCs/>
                <w:sz w:val="28"/>
                <w:szCs w:val="28"/>
              </w:rPr>
              <w:t>安全测试（20%）</w:t>
            </w:r>
            <w:r>
              <w:rPr>
                <w:rFonts w:ascii="黑体" w:eastAsia="黑体" w:hAnsi="黑体" w:cs="黑体" w:hint="eastAsia"/>
                <w:sz w:val="28"/>
                <w:szCs w:val="28"/>
              </w:rPr>
              <w:t>：根据在线测试得分与承诺书签署情况进行评价。在线测试得分反映学生对激光加工安全规范的掌握程度，承诺书签署体现学生对安全生产的重视和承诺。</w:t>
            </w:r>
          </w:p>
        </w:tc>
      </w:tr>
    </w:tbl>
    <w:p w14:paraId="13E50630"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（二）终结性评价（30%）</w:t>
      </w:r>
    </w:p>
    <w:tbl>
      <w:tblPr>
        <w:tblStyle w:val="a7"/>
        <w:tblW w:w="0" w:type="auto"/>
        <w:tblLook w:val="04A0" w:firstRow="1" w:lastRow="0" w:firstColumn="1" w:lastColumn="0" w:noHBand="0" w:noVBand="1"/>
      </w:tblPr>
      <w:tblGrid>
        <w:gridCol w:w="9016"/>
      </w:tblGrid>
      <w:tr w:rsidR="00D818E3" w14:paraId="5E96E7D0" w14:textId="77777777">
        <w:tc>
          <w:tcPr>
            <w:tcW w:w="9242" w:type="dxa"/>
          </w:tcPr>
          <w:p w14:paraId="1C08ABE5"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调研报告（15%）</w:t>
            </w:r>
            <w:r>
              <w:rPr>
                <w:rFonts w:ascii="黑体" w:eastAsia="黑体" w:hAnsi="黑体" w:cs="黑体" w:hint="eastAsia"/>
                <w:sz w:val="28"/>
                <w:szCs w:val="28"/>
              </w:rPr>
              <w:t>：从案例深度与创新性进行评价。案例深度要求学生对调研企业的激光加工技术有深入了解，能分析其优势和不足；创新性鼓励学生提出独特的见解和改进建议。</w:t>
            </w:r>
          </w:p>
        </w:tc>
      </w:tr>
      <w:tr w:rsidR="00D818E3" w14:paraId="560D32EE" w14:textId="77777777">
        <w:tc>
          <w:tcPr>
            <w:tcW w:w="9242" w:type="dxa"/>
          </w:tcPr>
          <w:p w14:paraId="793F41F9"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期末实操考核（15%）</w:t>
            </w:r>
            <w:r>
              <w:rPr>
                <w:rFonts w:ascii="黑体" w:eastAsia="黑体" w:hAnsi="黑体" w:cs="黑体" w:hint="eastAsia"/>
                <w:sz w:val="28"/>
                <w:szCs w:val="28"/>
              </w:rPr>
              <w:t>：学生独立完成复杂图案刻印任务，考核其对激光</w:t>
            </w:r>
            <w:proofErr w:type="gramStart"/>
            <w:r>
              <w:rPr>
                <w:rFonts w:ascii="黑体" w:eastAsia="黑体" w:hAnsi="黑体" w:cs="黑体" w:hint="eastAsia"/>
                <w:sz w:val="28"/>
                <w:szCs w:val="28"/>
              </w:rPr>
              <w:t>打标机</w:t>
            </w:r>
            <w:proofErr w:type="gramEnd"/>
            <w:r>
              <w:rPr>
                <w:rFonts w:ascii="黑体" w:eastAsia="黑体" w:hAnsi="黑体" w:cs="黑体" w:hint="eastAsia"/>
                <w:sz w:val="28"/>
                <w:szCs w:val="28"/>
              </w:rPr>
              <w:t>的综合操作能力和参数优化能力，包括设备操作熟练度、参数设置合理性、成品质量等方面。</w:t>
            </w:r>
          </w:p>
        </w:tc>
      </w:tr>
    </w:tbl>
    <w:p w14:paraId="334DB1E1"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十、教学反思</w:t>
      </w:r>
    </w:p>
    <w:p w14:paraId="0DDC46A0"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（一）亮点</w:t>
      </w:r>
    </w:p>
    <w:p w14:paraId="0F6E1697"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AR技术实现光路可视化</w:t>
      </w:r>
      <w:r>
        <w:rPr>
          <w:rFonts w:ascii="黑体" w:eastAsia="黑体" w:hAnsi="黑体" w:cs="黑体" w:hint="eastAsia"/>
          <w:sz w:val="28"/>
          <w:szCs w:val="28"/>
        </w:rPr>
        <w:t>：通过AR技术展示激光光路，让抽象的激光传播过程变得直观易懂，有效降低了学生对激光加工原理的理解难度。</w:t>
      </w:r>
    </w:p>
    <w:p w14:paraId="20D43A60"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真实企业案例增强</w:t>
      </w:r>
      <w:proofErr w:type="gramStart"/>
      <w:r>
        <w:rPr>
          <w:rFonts w:ascii="黑体" w:eastAsia="黑体" w:hAnsi="黑体" w:cs="黑体" w:hint="eastAsia"/>
          <w:b/>
          <w:bCs/>
          <w:sz w:val="28"/>
          <w:szCs w:val="28"/>
        </w:rPr>
        <w:t>课程思政感染力</w:t>
      </w:r>
      <w:proofErr w:type="gramEnd"/>
      <w:r>
        <w:rPr>
          <w:rFonts w:ascii="黑体" w:eastAsia="黑体" w:hAnsi="黑体" w:cs="黑体" w:hint="eastAsia"/>
          <w:sz w:val="28"/>
          <w:szCs w:val="28"/>
        </w:rPr>
        <w:t>：引入国产激光器突破案例和安全生产事故案例，</w:t>
      </w:r>
      <w:proofErr w:type="gramStart"/>
      <w:r>
        <w:rPr>
          <w:rFonts w:ascii="黑体" w:eastAsia="黑体" w:hAnsi="黑体" w:cs="黑体" w:hint="eastAsia"/>
          <w:sz w:val="28"/>
          <w:szCs w:val="28"/>
        </w:rPr>
        <w:t>使思政教育</w:t>
      </w:r>
      <w:proofErr w:type="gramEnd"/>
      <w:r>
        <w:rPr>
          <w:rFonts w:ascii="黑体" w:eastAsia="黑体" w:hAnsi="黑体" w:cs="黑体" w:hint="eastAsia"/>
          <w:sz w:val="28"/>
          <w:szCs w:val="28"/>
        </w:rPr>
        <w:t>更贴近实际，增强了学生的民族自豪感和安全生产意识。</w:t>
      </w:r>
    </w:p>
    <w:p w14:paraId="604D7778"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（二）不足</w:t>
      </w:r>
    </w:p>
    <w:p w14:paraId="65EDEFA7"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部分学生对多参数协同调节掌握不足</w:t>
      </w:r>
      <w:r>
        <w:rPr>
          <w:rFonts w:ascii="黑体" w:eastAsia="黑体" w:hAnsi="黑体" w:cs="黑体" w:hint="eastAsia"/>
          <w:sz w:val="28"/>
          <w:szCs w:val="28"/>
        </w:rPr>
        <w:t>：在实操训练中，发现部分学生难以同时调整多个参数以达到最佳加工效果，反映出对参数协同作用的理解不够深入。</w:t>
      </w:r>
    </w:p>
    <w:p w14:paraId="7C0B44AF"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实</w:t>
      </w:r>
      <w:proofErr w:type="gramStart"/>
      <w:r>
        <w:rPr>
          <w:rFonts w:ascii="黑体" w:eastAsia="黑体" w:hAnsi="黑体" w:cs="黑体" w:hint="eastAsia"/>
          <w:b/>
          <w:bCs/>
          <w:sz w:val="28"/>
          <w:szCs w:val="28"/>
        </w:rPr>
        <w:t>训设备</w:t>
      </w:r>
      <w:proofErr w:type="gramEnd"/>
      <w:r>
        <w:rPr>
          <w:rFonts w:ascii="黑体" w:eastAsia="黑体" w:hAnsi="黑体" w:cs="黑体" w:hint="eastAsia"/>
          <w:b/>
          <w:bCs/>
          <w:sz w:val="28"/>
          <w:szCs w:val="28"/>
        </w:rPr>
        <w:t>数量限制小组操作效率</w:t>
      </w:r>
      <w:r>
        <w:rPr>
          <w:rFonts w:ascii="黑体" w:eastAsia="黑体" w:hAnsi="黑体" w:cs="黑体" w:hint="eastAsia"/>
          <w:sz w:val="28"/>
          <w:szCs w:val="28"/>
        </w:rPr>
        <w:t>：由于实</w:t>
      </w:r>
      <w:proofErr w:type="gramStart"/>
      <w:r>
        <w:rPr>
          <w:rFonts w:ascii="黑体" w:eastAsia="黑体" w:hAnsi="黑体" w:cs="黑体" w:hint="eastAsia"/>
          <w:sz w:val="28"/>
          <w:szCs w:val="28"/>
        </w:rPr>
        <w:t>训设备</w:t>
      </w:r>
      <w:proofErr w:type="gramEnd"/>
      <w:r>
        <w:rPr>
          <w:rFonts w:ascii="黑体" w:eastAsia="黑体" w:hAnsi="黑体" w:cs="黑体" w:hint="eastAsia"/>
          <w:sz w:val="28"/>
          <w:szCs w:val="28"/>
        </w:rPr>
        <w:t>数量有限，每组学生操作时间相对较短，影响了学生对设备的熟练程度和操作效率。</w:t>
      </w:r>
    </w:p>
    <w:p w14:paraId="6C01E549" w14:textId="77777777" w:rsidR="00D818E3" w:rsidRDefault="00000000">
      <w:pPr>
        <w:pStyle w:val="3"/>
        <w:rPr>
          <w:rFonts w:ascii="黑体" w:eastAsia="黑体" w:hAnsi="黑体" w:cs="黑体" w:hint="eastAsia"/>
          <w:sz w:val="28"/>
          <w:szCs w:val="28"/>
        </w:rPr>
      </w:pPr>
      <w:r>
        <w:rPr>
          <w:rFonts w:ascii="黑体" w:eastAsia="黑体" w:hAnsi="黑体" w:cs="黑体" w:hint="eastAsia"/>
          <w:sz w:val="28"/>
          <w:szCs w:val="28"/>
        </w:rPr>
        <w:t>（三）改进措施</w:t>
      </w:r>
    </w:p>
    <w:p w14:paraId="4DE821CD"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lastRenderedPageBreak/>
        <w:t>1.</w:t>
      </w:r>
      <w:r>
        <w:rPr>
          <w:rFonts w:ascii="黑体" w:eastAsia="黑体" w:hAnsi="黑体" w:cs="黑体" w:hint="eastAsia"/>
          <w:b/>
          <w:bCs/>
          <w:sz w:val="28"/>
          <w:szCs w:val="28"/>
        </w:rPr>
        <w:t>开发“激光参数模拟器”小程序辅助课后练习</w:t>
      </w:r>
      <w:r>
        <w:rPr>
          <w:rFonts w:ascii="黑体" w:eastAsia="黑体" w:hAnsi="黑体" w:cs="黑体" w:hint="eastAsia"/>
          <w:sz w:val="28"/>
          <w:szCs w:val="28"/>
        </w:rPr>
        <w:t>：开发小程序，让学生在课后可随时随地进行激光参数调节模拟练习，巩固课堂知识，提高对参数协同调节的掌握能力。</w:t>
      </w:r>
    </w:p>
    <w:p w14:paraId="522DC82D"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引入校企合作资源扩充实训设备</w:t>
      </w:r>
      <w:r>
        <w:rPr>
          <w:rFonts w:ascii="黑体" w:eastAsia="黑体" w:hAnsi="黑体" w:cs="黑体" w:hint="eastAsia"/>
          <w:sz w:val="28"/>
          <w:szCs w:val="28"/>
        </w:rPr>
        <w:t>：加强与企业的合作，通过企业捐赠、共建实验室等方式扩充实训设备，为学生提供更多实践机会，提高操作效率。</w:t>
      </w:r>
    </w:p>
    <w:p w14:paraId="27D2505F" w14:textId="77777777" w:rsidR="00D818E3" w:rsidRDefault="00000000">
      <w:pPr>
        <w:pStyle w:val="2"/>
        <w:rPr>
          <w:rFonts w:ascii="黑体" w:eastAsia="黑体" w:hAnsi="黑体" w:cs="黑体" w:hint="eastAsia"/>
          <w:sz w:val="28"/>
          <w:szCs w:val="28"/>
        </w:rPr>
      </w:pPr>
      <w:r>
        <w:rPr>
          <w:rFonts w:ascii="黑体" w:eastAsia="黑体" w:hAnsi="黑体" w:cs="黑体" w:hint="eastAsia"/>
          <w:sz w:val="28"/>
          <w:szCs w:val="28"/>
        </w:rPr>
        <w:t>十一、设计特色</w:t>
      </w:r>
    </w:p>
    <w:p w14:paraId="352DCE90"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1.</w:t>
      </w:r>
      <w:r>
        <w:rPr>
          <w:rFonts w:ascii="黑体" w:eastAsia="黑体" w:hAnsi="黑体" w:cs="黑体" w:hint="eastAsia"/>
          <w:b/>
          <w:bCs/>
          <w:sz w:val="28"/>
          <w:szCs w:val="28"/>
        </w:rPr>
        <w:t>“岗课赛证”融通</w:t>
      </w:r>
      <w:r>
        <w:rPr>
          <w:rFonts w:ascii="黑体" w:eastAsia="黑体" w:hAnsi="黑体" w:cs="黑体" w:hint="eastAsia"/>
          <w:sz w:val="28"/>
          <w:szCs w:val="28"/>
        </w:rPr>
        <w:t>：教学内容紧密对接“激光设备操作员”职业标准，为学生未来就业打下坚实基础。同时，鼓励学生参加相关技能竞赛，提升职业技能水平，考取相关职业资格证书。</w:t>
      </w:r>
    </w:p>
    <w:p w14:paraId="22043412"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2.</w:t>
      </w:r>
      <w:r>
        <w:rPr>
          <w:rFonts w:ascii="黑体" w:eastAsia="黑体" w:hAnsi="黑体" w:cs="黑体" w:hint="eastAsia"/>
          <w:b/>
          <w:bCs/>
          <w:sz w:val="28"/>
          <w:szCs w:val="28"/>
        </w:rPr>
        <w:t>虚实结合</w:t>
      </w:r>
      <w:r>
        <w:rPr>
          <w:rFonts w:ascii="黑体" w:eastAsia="黑体" w:hAnsi="黑体" w:cs="黑体" w:hint="eastAsia"/>
          <w:sz w:val="28"/>
          <w:szCs w:val="28"/>
        </w:rPr>
        <w:t>：虚拟仿真平台让学生在虚拟环境中进行参数调节和实验操作，降低实验成本和风险；真实操作则让学生亲身体验激光加工过程，掌握实际操作技能，两者相互补充，提高教学效果。</w:t>
      </w:r>
    </w:p>
    <w:p w14:paraId="22FB2261"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3.</w:t>
      </w:r>
      <w:r>
        <w:rPr>
          <w:rFonts w:ascii="黑体" w:eastAsia="黑体" w:hAnsi="黑体" w:cs="黑体" w:hint="eastAsia"/>
          <w:b/>
          <w:bCs/>
          <w:sz w:val="28"/>
          <w:szCs w:val="28"/>
        </w:rPr>
        <w:t>安全育人</w:t>
      </w:r>
      <w:r>
        <w:rPr>
          <w:rFonts w:ascii="黑体" w:eastAsia="黑体" w:hAnsi="黑体" w:cs="黑体" w:hint="eastAsia"/>
          <w:sz w:val="28"/>
          <w:szCs w:val="28"/>
        </w:rPr>
        <w:t>：将安全生产规范贯穿教学全流程，从课前安全知识学习、课中安全操作指导到课后安全总结反思，培养学生的安全生产意识和习惯。</w:t>
      </w:r>
    </w:p>
    <w:p w14:paraId="518B740E" w14:textId="77777777" w:rsidR="00D818E3" w:rsidRDefault="00000000">
      <w:pPr>
        <w:pStyle w:val="Style13"/>
        <w:ind w:left="288" w:hanging="288"/>
        <w:rPr>
          <w:rFonts w:ascii="黑体" w:eastAsia="黑体" w:hAnsi="黑体" w:cs="黑体" w:hint="eastAsia"/>
          <w:sz w:val="28"/>
          <w:szCs w:val="28"/>
        </w:rPr>
      </w:pPr>
      <w:r>
        <w:rPr>
          <w:rFonts w:ascii="黑体" w:eastAsia="黑体" w:hAnsi="黑体" w:cs="黑体" w:hint="eastAsia"/>
        </w:rPr>
        <w:t>4.</w:t>
      </w:r>
      <w:r>
        <w:rPr>
          <w:rFonts w:ascii="黑体" w:eastAsia="黑体" w:hAnsi="黑体" w:cs="黑体" w:hint="eastAsia"/>
          <w:b/>
          <w:bCs/>
          <w:sz w:val="28"/>
          <w:szCs w:val="28"/>
        </w:rPr>
        <w:t>国产技术自信</w:t>
      </w:r>
      <w:r>
        <w:rPr>
          <w:rFonts w:ascii="黑体" w:eastAsia="黑体" w:hAnsi="黑体" w:cs="黑体" w:hint="eastAsia"/>
          <w:sz w:val="28"/>
          <w:szCs w:val="28"/>
        </w:rPr>
        <w:t>：强化自主创新案例教学，通过展示国产激光技术的突破和成就，增强学生对国产技术的信心，激发学生的创新精神和民族自豪感。</w:t>
      </w:r>
    </w:p>
    <w:sectPr w:rsidR="00D818E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
      <w:numFmt w:val="bullet"/>
      <w:lvlText w:val="•"/>
      <w:lvlJc w:val="left"/>
      <w:pPr>
        <w:ind w:left="288" w:hanging="288"/>
      </w:pPr>
      <w:rPr>
        <w:color w:val="3370FF"/>
        <w:sz w:val="22"/>
        <w:szCs w:val="22"/>
      </w:rPr>
    </w:lvl>
    <w:lvl w:ilvl="1">
      <w:start w:val="1"/>
      <w:numFmt w:val="bullet"/>
      <w:lvlText w:val="◦"/>
      <w:lvlJc w:val="left"/>
      <w:pPr>
        <w:ind w:left="720" w:hanging="288"/>
      </w:pPr>
      <w:rPr>
        <w:color w:val="3370FF"/>
        <w:sz w:val="22"/>
        <w:szCs w:val="22"/>
      </w:rPr>
    </w:lvl>
    <w:lvl w:ilvl="2">
      <w:start w:val="1"/>
      <w:numFmt w:val="bullet"/>
      <w:lvlText w:val="▪"/>
      <w:lvlJc w:val="left"/>
      <w:pPr>
        <w:ind w:left="1152" w:hanging="288"/>
      </w:pPr>
      <w:rPr>
        <w:color w:val="3370FF"/>
        <w:sz w:val="22"/>
        <w:szCs w:val="22"/>
      </w:rPr>
    </w:lvl>
    <w:lvl w:ilvl="3">
      <w:start w:val="1"/>
      <w:numFmt w:val="bullet"/>
      <w:lvlText w:val="•"/>
      <w:lvlJc w:val="left"/>
      <w:pPr>
        <w:ind w:left="1583" w:hanging="288"/>
      </w:pPr>
      <w:rPr>
        <w:color w:val="3370FF"/>
        <w:sz w:val="22"/>
        <w:szCs w:val="22"/>
      </w:rPr>
    </w:lvl>
    <w:lvl w:ilvl="4">
      <w:start w:val="1"/>
      <w:numFmt w:val="bullet"/>
      <w:lvlText w:val="◦"/>
      <w:lvlJc w:val="left"/>
      <w:pPr>
        <w:ind w:left="2015" w:hanging="288"/>
      </w:pPr>
      <w:rPr>
        <w:color w:val="3370FF"/>
        <w:sz w:val="22"/>
        <w:szCs w:val="22"/>
      </w:rPr>
    </w:lvl>
    <w:lvl w:ilvl="5">
      <w:start w:val="1"/>
      <w:numFmt w:val="bullet"/>
      <w:lvlText w:val="▪"/>
      <w:lvlJc w:val="left"/>
      <w:pPr>
        <w:ind w:left="2448" w:hanging="288"/>
      </w:pPr>
      <w:rPr>
        <w:color w:val="3370FF"/>
        <w:sz w:val="22"/>
        <w:szCs w:val="22"/>
      </w:rPr>
    </w:lvl>
    <w:lvl w:ilvl="6">
      <w:start w:val="1"/>
      <w:numFmt w:val="bullet"/>
      <w:lvlText w:val="•"/>
      <w:lvlJc w:val="left"/>
      <w:pPr>
        <w:ind w:left="2879" w:hanging="288"/>
      </w:pPr>
      <w:rPr>
        <w:color w:val="3370FF"/>
        <w:sz w:val="22"/>
        <w:szCs w:val="22"/>
      </w:rPr>
    </w:lvl>
    <w:lvl w:ilvl="7">
      <w:start w:val="1"/>
      <w:numFmt w:val="bullet"/>
      <w:lvlText w:val="◦"/>
      <w:lvlJc w:val="left"/>
      <w:pPr>
        <w:ind w:left="3312" w:hanging="288"/>
      </w:pPr>
      <w:rPr>
        <w:color w:val="3370FF"/>
        <w:sz w:val="22"/>
        <w:szCs w:val="22"/>
      </w:rPr>
    </w:lvl>
    <w:lvl w:ilvl="8">
      <w:start w:val="1"/>
      <w:numFmt w:val="bullet"/>
      <w:lvlText w:val="▪"/>
      <w:lvlJc w:val="left"/>
      <w:pPr>
        <w:ind w:left="3744" w:hanging="288"/>
      </w:pPr>
      <w:rPr>
        <w:color w:val="3370FF"/>
        <w:sz w:val="22"/>
        <w:szCs w:val="22"/>
      </w:rPr>
    </w:lvl>
  </w:abstractNum>
  <w:num w:numId="1" w16cid:durableId="8323814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D6"/>
    <w:rsid w:val="007C1D88"/>
    <w:rsid w:val="00913233"/>
    <w:rsid w:val="00923BD6"/>
    <w:rsid w:val="00C31034"/>
    <w:rsid w:val="00C92637"/>
    <w:rsid w:val="00D818E3"/>
    <w:rsid w:val="02651D46"/>
    <w:rsid w:val="3686255D"/>
    <w:rsid w:val="69BA5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656570-8623-4D61-94C1-3BCE8DB1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semiHidden="1" w:unhideWhenUsed="1" w:qFormat="1"/>
    <w:lsdException w:name="footnote reference" w:semiHidden="1" w:uiPriority="99"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paragraph" w:styleId="1">
    <w:name w:val="heading 1"/>
    <w:next w:val="a"/>
    <w:qFormat/>
    <w:pPr>
      <w:spacing w:before="380" w:after="140" w:line="288" w:lineRule="auto"/>
      <w:outlineLvl w:val="0"/>
    </w:pPr>
    <w:rPr>
      <w:rFonts w:ascii="Arial" w:eastAsia="等线" w:hAnsi="Arial" w:cs="Arial"/>
      <w:b/>
      <w:bCs/>
      <w:sz w:val="36"/>
      <w:szCs w:val="36"/>
    </w:rPr>
  </w:style>
  <w:style w:type="paragraph" w:styleId="2">
    <w:name w:val="heading 2"/>
    <w:basedOn w:val="a"/>
    <w:next w:val="a0"/>
    <w:qFormat/>
    <w:pPr>
      <w:spacing w:before="320" w:after="120" w:line="288" w:lineRule="auto"/>
      <w:outlineLvl w:val="1"/>
    </w:pPr>
    <w:rPr>
      <w:rFonts w:ascii="Arial" w:eastAsia="等线" w:hAnsi="Arial" w:cs="Arial"/>
      <w:b/>
      <w:bCs/>
      <w:sz w:val="32"/>
      <w:szCs w:val="32"/>
    </w:rPr>
  </w:style>
  <w:style w:type="paragraph" w:styleId="3">
    <w:name w:val="heading 3"/>
    <w:next w:val="a"/>
    <w:qFormat/>
    <w:pPr>
      <w:spacing w:before="300" w:after="120" w:line="288" w:lineRule="auto"/>
      <w:outlineLvl w:val="2"/>
    </w:pPr>
    <w:rPr>
      <w:rFonts w:ascii="Arial" w:eastAsia="等线" w:hAnsi="Arial" w:cs="Arial"/>
      <w:b/>
      <w:bCs/>
      <w:sz w:val="30"/>
      <w:szCs w:val="30"/>
    </w:rPr>
  </w:style>
  <w:style w:type="paragraph" w:styleId="4">
    <w:name w:val="heading 4"/>
    <w:next w:val="a"/>
    <w:qFormat/>
    <w:pPr>
      <w:spacing w:before="260" w:after="120" w:line="288" w:lineRule="auto"/>
      <w:outlineLvl w:val="3"/>
    </w:pPr>
    <w:rPr>
      <w:rFonts w:ascii="Arial" w:eastAsia="等线" w:hAnsi="Arial" w:cs="Arial"/>
      <w:b/>
      <w:bCs/>
      <w:sz w:val="28"/>
      <w:szCs w:val="28"/>
    </w:rPr>
  </w:style>
  <w:style w:type="paragraph" w:styleId="5">
    <w:name w:val="heading 5"/>
    <w:next w:val="a"/>
    <w:qFormat/>
    <w:pPr>
      <w:spacing w:before="240" w:after="120" w:line="288" w:lineRule="auto"/>
      <w:outlineLvl w:val="4"/>
    </w:pPr>
    <w:rPr>
      <w:rFonts w:ascii="Arial" w:eastAsia="等线" w:hAnsi="Arial" w:cs="Arial"/>
      <w:b/>
      <w:bCs/>
      <w:sz w:val="24"/>
      <w:szCs w:val="24"/>
    </w:rPr>
  </w:style>
  <w:style w:type="paragraph" w:styleId="6">
    <w:name w:val="heading 6"/>
    <w:next w:val="a"/>
    <w:qFormat/>
    <w:pPr>
      <w:spacing w:before="240" w:after="120" w:line="288" w:lineRule="auto"/>
      <w:outlineLvl w:val="5"/>
    </w:pPr>
    <w:rPr>
      <w:rFonts w:ascii="Arial" w:eastAsia="等线" w:hAnsi="Arial" w:cs="Arial"/>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styleId="a4">
    <w:name w:val="footnote text"/>
    <w:link w:val="a5"/>
    <w:uiPriority w:val="99"/>
    <w:semiHidden/>
    <w:unhideWhenUsed/>
    <w:qFormat/>
  </w:style>
  <w:style w:type="paragraph" w:styleId="a6">
    <w:name w:val="Title"/>
    <w:qFormat/>
    <w:pPr>
      <w:spacing w:before="480" w:after="480" w:line="288" w:lineRule="auto"/>
    </w:pPr>
    <w:rPr>
      <w:rFonts w:ascii="Arial" w:eastAsia="等线" w:hAnsi="Arial" w:cs="Arial"/>
      <w:b/>
      <w:bCs/>
      <w:sz w:val="52"/>
      <w:szCs w:val="52"/>
    </w:r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unhideWhenUsed/>
    <w:qFormat/>
    <w:rPr>
      <w:color w:val="0563C1"/>
      <w:u w:val="single"/>
    </w:rPr>
  </w:style>
  <w:style w:type="character" w:styleId="a9">
    <w:name w:val="footnote reference"/>
    <w:uiPriority w:val="99"/>
    <w:semiHidden/>
    <w:unhideWhenUsed/>
    <w:qFormat/>
    <w:rPr>
      <w:vertAlign w:val="superscript"/>
    </w:rPr>
  </w:style>
  <w:style w:type="paragraph" w:styleId="aa">
    <w:name w:val="List Paragraph"/>
    <w:qFormat/>
    <w:rPr>
      <w:sz w:val="21"/>
      <w:szCs w:val="22"/>
    </w:rPr>
  </w:style>
  <w:style w:type="character" w:customStyle="1" w:styleId="a5">
    <w:name w:val="脚注文本 字符"/>
    <w:link w:val="a4"/>
    <w:uiPriority w:val="99"/>
    <w:semiHidden/>
    <w:unhideWhenUsed/>
    <w:qFormat/>
    <w:rPr>
      <w:sz w:val="20"/>
      <w:szCs w:val="20"/>
    </w:rPr>
  </w:style>
  <w:style w:type="paragraph" w:customStyle="1" w:styleId="Style13">
    <w:name w:val="_Style 13"/>
    <w:pPr>
      <w:spacing w:before="120" w:after="120" w:line="288" w:lineRule="auto"/>
    </w:pPr>
    <w:rPr>
      <w:rFonts w:ascii="Arial" w:eastAsia="等线" w:hAnsi="Arial" w:cs="Arial"/>
      <w:sz w:val="22"/>
      <w:szCs w:val="22"/>
    </w:rPr>
  </w:style>
  <w:style w:type="paragraph" w:customStyle="1" w:styleId="Style14">
    <w:name w:val="_Style 14"/>
    <w:qFormat/>
    <w:pPr>
      <w:spacing w:before="120" w:after="120" w:line="288" w:lineRule="auto"/>
    </w:pPr>
    <w:rPr>
      <w:rFonts w:ascii="Arial" w:eastAsia="等线" w:hAnsi="Arial" w:cs="Arial"/>
      <w:color w:val="8F959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mulin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602</Words>
  <Characters>3432</Characters>
  <Application>Microsoft Office Word</Application>
  <DocSecurity>0</DocSecurity>
  <Lines>28</Lines>
  <Paragraphs>8</Paragraphs>
  <ScaleCrop>false</ScaleCrop>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宗铭 贺</cp:lastModifiedBy>
  <cp:revision>4</cp:revision>
  <dcterms:created xsi:type="dcterms:W3CDTF">2025-03-05T07:13:00Z</dcterms:created>
  <dcterms:modified xsi:type="dcterms:W3CDTF">2025-03-05T09:43:00Z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eyJoZGlkIjoiMmY1NjBlMDY3ZGZkYzgwOTlkMzg5ZjZmMzM1ZjM3ZTIiLCJ1c2VySWQiOiI1NDEzNTM0MjIifQ==</vt:lpwstr>
  </property>
  <property fmtid="{D5CDD505-2E9C-101B-9397-08002B2CF9AE}" pid="3" name="KSOProductBuildVer">
    <vt:lpwstr>2052-12.1.0.19770</vt:lpwstr>
  </property>
  <property fmtid="{D5CDD505-2E9C-101B-9397-08002B2CF9AE}" pid="4" name="ICV">
    <vt:lpwstr>3243848346A44AD7B942A6D403E1F228_12</vt:lpwstr>
  </property>
</Properties>
</file>