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黑体" w:hAnsi="黑体" w:eastAsia="黑体" w:cs="黑体"/>
          <w:sz w:val="44"/>
          <w:szCs w:val="44"/>
          <w:highlight w:val="none"/>
        </w:rPr>
      </w:pPr>
      <w:bookmarkStart w:id="0" w:name="_GoBack"/>
      <w:r>
        <w:rPr>
          <w:rFonts w:hint="eastAsia" w:ascii="黑体" w:hAnsi="黑体" w:eastAsia="黑体" w:cs="黑体"/>
          <w:sz w:val="44"/>
          <w:szCs w:val="44"/>
          <w:highlight w:val="none"/>
        </w:rPr>
        <w:t>山东省城市服务技师学院</w:t>
      </w:r>
    </w:p>
    <w:p>
      <w:pPr>
        <w:spacing w:line="300" w:lineRule="auto"/>
        <w:jc w:val="center"/>
        <w:rPr>
          <w:rFonts w:ascii="黑体" w:hAnsi="黑体" w:eastAsia="黑体" w:cs="黑体"/>
          <w:sz w:val="44"/>
          <w:szCs w:val="44"/>
          <w:highlight w:val="none"/>
        </w:rPr>
      </w:pPr>
      <w:r>
        <w:rPr>
          <w:rFonts w:hint="eastAsia" w:ascii="黑体" w:hAnsi="黑体" w:eastAsia="黑体" w:cs="黑体"/>
          <w:sz w:val="44"/>
          <w:szCs w:val="44"/>
          <w:highlight w:val="none"/>
        </w:rPr>
        <w:t>校园网互联网出口带宽租用项目询价公告</w:t>
      </w:r>
    </w:p>
    <w:p>
      <w:pPr>
        <w:pStyle w:val="4"/>
        <w:widowControl/>
        <w:pBdr>
          <w:bottom w:val="single" w:color="E2E2E2" w:sz="6" w:space="0"/>
        </w:pBdr>
        <w:spacing w:before="0" w:beforeAutospacing="0" w:after="0" w:afterAutospacing="0" w:line="675" w:lineRule="atLeast"/>
        <w:ind w:firstLine="627" w:firstLineChars="196"/>
        <w:rPr>
          <w:rFonts w:hint="default" w:ascii="楷体" w:hAnsi="楷体" w:eastAsia="楷体" w:cs="楷体"/>
          <w:b w:val="0"/>
          <w:sz w:val="32"/>
          <w:szCs w:val="32"/>
          <w:highlight w:val="none"/>
          <w:shd w:val="clear" w:color="auto" w:fill="FFFFFF"/>
        </w:rPr>
      </w:pPr>
      <w:r>
        <w:rPr>
          <w:rFonts w:ascii="楷体" w:hAnsi="楷体" w:eastAsia="楷体" w:cs="楷体"/>
          <w:b w:val="0"/>
          <w:sz w:val="32"/>
          <w:szCs w:val="32"/>
          <w:highlight w:val="none"/>
        </w:rPr>
        <w:t>一、 采购内容</w:t>
      </w:r>
    </w:p>
    <w:p>
      <w:pPr>
        <w:pStyle w:val="10"/>
        <w:widowControl/>
        <w:spacing w:before="150" w:beforeAutospacing="0" w:after="150" w:afterAutospacing="0" w:line="585" w:lineRule="atLeast"/>
        <w:ind w:firstLine="645"/>
        <w:rPr>
          <w:rFonts w:ascii="仿宋" w:hAnsi="仿宋" w:eastAsia="仿宋" w:cs="仿宋"/>
          <w:sz w:val="32"/>
          <w:szCs w:val="32"/>
          <w:highlight w:val="none"/>
        </w:rPr>
      </w:pPr>
      <w:r>
        <w:rPr>
          <w:rFonts w:hint="eastAsia" w:ascii="仿宋" w:hAnsi="仿宋" w:eastAsia="仿宋" w:cs="仿宋"/>
          <w:sz w:val="32"/>
          <w:szCs w:val="32"/>
          <w:highlight w:val="none"/>
          <w:shd w:val="clear" w:color="auto" w:fill="FFFFFF"/>
        </w:rPr>
        <w:t>山东省城市服务技师学院校园网互联网出口带宽租用项目，</w:t>
      </w:r>
      <w:r>
        <w:rPr>
          <w:rFonts w:hint="eastAsia" w:ascii="仿宋" w:hAnsi="仿宋" w:eastAsia="仿宋" w:cs="仿宋"/>
          <w:sz w:val="32"/>
          <w:szCs w:val="32"/>
          <w:highlight w:val="none"/>
          <w:shd w:val="clear" w:color="auto" w:fill="FFFFFF"/>
          <w:lang w:val="en-US" w:eastAsia="zh-CN"/>
        </w:rPr>
        <w:t>具体</w:t>
      </w:r>
      <w:r>
        <w:rPr>
          <w:rFonts w:hint="eastAsia" w:ascii="仿宋" w:hAnsi="仿宋" w:eastAsia="仿宋" w:cs="仿宋"/>
          <w:sz w:val="32"/>
          <w:szCs w:val="32"/>
          <w:highlight w:val="none"/>
        </w:rPr>
        <w:t>要求详见附件。</w:t>
      </w:r>
    </w:p>
    <w:p>
      <w:pPr>
        <w:pStyle w:val="10"/>
        <w:widowControl/>
        <w:spacing w:before="150" w:beforeAutospacing="0" w:after="150" w:afterAutospacing="0" w:line="585" w:lineRule="atLeast"/>
        <w:ind w:firstLine="645"/>
        <w:rPr>
          <w:rFonts w:ascii="楷体" w:hAnsi="楷体" w:eastAsia="楷体" w:cs="楷体"/>
          <w:sz w:val="32"/>
          <w:szCs w:val="32"/>
          <w:highlight w:val="none"/>
        </w:rPr>
      </w:pPr>
      <w:r>
        <w:rPr>
          <w:rFonts w:hint="eastAsia" w:ascii="楷体" w:hAnsi="楷体" w:eastAsia="楷体" w:cs="楷体"/>
          <w:sz w:val="32"/>
          <w:szCs w:val="32"/>
          <w:highlight w:val="none"/>
        </w:rPr>
        <w:t>二、投标人资格</w:t>
      </w:r>
    </w:p>
    <w:p>
      <w:pPr>
        <w:pStyle w:val="17"/>
        <w:keepNext w:val="0"/>
        <w:keepLines w:val="0"/>
        <w:pageBreakBefore w:val="0"/>
        <w:widowControl w:val="0"/>
        <w:numPr>
          <w:ilvl w:val="0"/>
          <w:numId w:val="0"/>
        </w:numPr>
        <w:kinsoku/>
        <w:wordWrap/>
        <w:overflowPunct/>
        <w:topLinePunct w:val="0"/>
        <w:autoSpaceDE w:val="0"/>
        <w:autoSpaceDN w:val="0"/>
        <w:bidi w:val="0"/>
        <w:adjustRightInd/>
        <w:snapToGrid/>
        <w:ind w:leftChars="0"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（1）在中国境内注册具有独立承担民事责任能力的法人或者其分支机构或者其他组织或者自然人；</w:t>
      </w:r>
    </w:p>
    <w:p>
      <w:pPr>
        <w:pStyle w:val="17"/>
        <w:numPr>
          <w:ilvl w:val="0"/>
          <w:numId w:val="0"/>
        </w:numPr>
        <w:ind w:leftChars="0"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（2）参加政府采购活动前 3 年内在经营活动中没有重大违法记录的书面声明； </w:t>
      </w:r>
    </w:p>
    <w:p>
      <w:pPr>
        <w:pStyle w:val="17"/>
        <w:keepNext w:val="0"/>
        <w:keepLines w:val="0"/>
        <w:pageBreakBefore w:val="0"/>
        <w:widowControl w:val="0"/>
        <w:numPr>
          <w:ilvl w:val="0"/>
          <w:numId w:val="0"/>
        </w:numPr>
        <w:kinsoku/>
        <w:wordWrap/>
        <w:overflowPunct/>
        <w:topLinePunct w:val="0"/>
        <w:autoSpaceDE w:val="0"/>
        <w:autoSpaceDN w:val="0"/>
        <w:bidi w:val="0"/>
        <w:adjustRightInd/>
        <w:snapToGrid/>
        <w:ind w:leftChars="0"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（3）具有履行合同所必需的设备和专业技术能力。</w:t>
      </w:r>
    </w:p>
    <w:p>
      <w:pPr>
        <w:pStyle w:val="17"/>
        <w:keepNext w:val="0"/>
        <w:keepLines w:val="0"/>
        <w:pageBreakBefore w:val="0"/>
        <w:widowControl w:val="0"/>
        <w:numPr>
          <w:ilvl w:val="0"/>
          <w:numId w:val="0"/>
        </w:numPr>
        <w:kinsoku/>
        <w:wordWrap/>
        <w:overflowPunct/>
        <w:topLinePunct w:val="0"/>
        <w:autoSpaceDE w:val="0"/>
        <w:autoSpaceDN w:val="0"/>
        <w:bidi w:val="0"/>
        <w:adjustRightInd/>
        <w:snapToGrid/>
        <w:ind w:leftChars="0"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（4）具有《中华人民共和国基础电信业务经营许可证》的运营商或其分支机构；</w:t>
      </w:r>
    </w:p>
    <w:p>
      <w:pPr>
        <w:pStyle w:val="17"/>
        <w:numPr>
          <w:ilvl w:val="0"/>
          <w:numId w:val="0"/>
        </w:numPr>
        <w:ind w:leftChars="0"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（5）无不良信用信息记录</w:t>
      </w:r>
      <w:r>
        <w:rPr>
          <w:rFonts w:hint="eastAsia" w:ascii="仿宋" w:hAnsi="仿宋" w:eastAsia="仿宋" w:cs="仿宋"/>
          <w:color w:val="auto"/>
          <w:kern w:val="2"/>
          <w:sz w:val="32"/>
          <w:szCs w:val="32"/>
          <w:highlight w:val="none"/>
        </w:rPr>
        <w:t>（</w:t>
      </w:r>
      <w:r>
        <w:rPr>
          <w:rFonts w:hint="eastAsia" w:ascii="仿宋" w:hAnsi="仿宋" w:eastAsia="仿宋" w:cs="仿宋"/>
          <w:color w:val="auto"/>
          <w:kern w:val="2"/>
          <w:sz w:val="32"/>
          <w:szCs w:val="32"/>
          <w:highlight w:val="none"/>
          <w:lang w:val="en-US" w:eastAsia="zh-CN"/>
        </w:rPr>
        <w:t>承诺或</w:t>
      </w:r>
      <w:r>
        <w:rPr>
          <w:rFonts w:hint="eastAsia" w:ascii="仿宋" w:hAnsi="仿宋" w:eastAsia="仿宋" w:cs="仿宋"/>
          <w:color w:val="auto"/>
          <w:kern w:val="2"/>
          <w:sz w:val="32"/>
          <w:szCs w:val="32"/>
          <w:highlight w:val="none"/>
        </w:rPr>
        <w:t>提供信用中国查询信用报告）</w:t>
      </w:r>
      <w:r>
        <w:rPr>
          <w:rFonts w:hint="eastAsia" w:ascii="仿宋_GB2312" w:hAnsi="仿宋_GB2312" w:eastAsia="仿宋_GB2312" w:cs="仿宋_GB2312"/>
          <w:color w:val="auto"/>
          <w:sz w:val="32"/>
          <w:szCs w:val="32"/>
          <w:highlight w:val="none"/>
          <w:lang w:val="en-US" w:eastAsia="zh-CN"/>
        </w:rPr>
        <w:t xml:space="preserve">； </w:t>
      </w:r>
    </w:p>
    <w:p>
      <w:pPr>
        <w:pStyle w:val="16"/>
        <w:adjustRightInd w:val="0"/>
        <w:snapToGrid w:val="0"/>
        <w:spacing w:line="360" w:lineRule="auto"/>
        <w:ind w:firstLine="64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（6）本项目不接受联合体报价。</w:t>
      </w:r>
    </w:p>
    <w:p>
      <w:pPr>
        <w:pStyle w:val="10"/>
        <w:widowControl/>
        <w:spacing w:before="150" w:beforeAutospacing="0" w:after="150" w:afterAutospacing="0" w:line="585" w:lineRule="atLeast"/>
        <w:ind w:firstLine="645"/>
        <w:rPr>
          <w:rFonts w:ascii="楷体" w:hAnsi="楷体" w:eastAsia="楷体" w:cs="楷体"/>
          <w:sz w:val="32"/>
          <w:szCs w:val="32"/>
          <w:highlight w:val="none"/>
        </w:rPr>
      </w:pPr>
      <w:r>
        <w:rPr>
          <w:rFonts w:hint="eastAsia" w:ascii="楷体" w:hAnsi="楷体" w:eastAsia="楷体" w:cs="楷体"/>
          <w:sz w:val="32"/>
          <w:szCs w:val="32"/>
          <w:highlight w:val="none"/>
        </w:rPr>
        <w:t>三、报价要求</w:t>
      </w:r>
    </w:p>
    <w:p>
      <w:pPr>
        <w:pStyle w:val="10"/>
        <w:widowControl/>
        <w:spacing w:before="150" w:beforeAutospacing="0" w:after="150" w:afterAutospacing="0" w:line="585" w:lineRule="atLeast"/>
        <w:ind w:firstLine="645"/>
        <w:rPr>
          <w:rFonts w:ascii="仿宋" w:hAnsi="仿宋" w:eastAsia="仿宋" w:cs="仿宋"/>
          <w:sz w:val="32"/>
          <w:szCs w:val="32"/>
          <w:highlight w:val="none"/>
        </w:rPr>
      </w:pPr>
      <w:r>
        <w:rPr>
          <w:rFonts w:hint="eastAsia" w:ascii="仿宋" w:hAnsi="仿宋" w:eastAsia="仿宋" w:cs="仿宋"/>
          <w:sz w:val="32"/>
          <w:szCs w:val="32"/>
          <w:highlight w:val="none"/>
        </w:rPr>
        <w:t>1. 即日起至2022年</w:t>
      </w:r>
      <w:r>
        <w:rPr>
          <w:rFonts w:ascii="仿宋" w:hAnsi="仿宋" w:eastAsia="仿宋" w:cs="仿宋"/>
          <w:sz w:val="32"/>
          <w:szCs w:val="32"/>
          <w:highlight w:val="none"/>
          <w:u w:val="single"/>
        </w:rPr>
        <w:t>1</w:t>
      </w:r>
      <w:r>
        <w:rPr>
          <w:rFonts w:hint="eastAsia" w:ascii="仿宋" w:hAnsi="仿宋" w:eastAsia="仿宋" w:cs="仿宋"/>
          <w:sz w:val="32"/>
          <w:szCs w:val="32"/>
          <w:highlight w:val="none"/>
          <w:u w:val="single"/>
          <w:lang w:val="en-US" w:eastAsia="zh-CN"/>
        </w:rPr>
        <w:t>2</w:t>
      </w:r>
      <w:r>
        <w:rPr>
          <w:rFonts w:hint="eastAsia" w:ascii="仿宋" w:hAnsi="仿宋" w:eastAsia="仿宋" w:cs="仿宋"/>
          <w:sz w:val="32"/>
          <w:szCs w:val="32"/>
          <w:highlight w:val="none"/>
        </w:rPr>
        <w:t>月</w:t>
      </w:r>
      <w:r>
        <w:rPr>
          <w:rFonts w:hint="eastAsia" w:ascii="仿宋" w:hAnsi="仿宋" w:eastAsia="仿宋" w:cs="仿宋"/>
          <w:sz w:val="32"/>
          <w:szCs w:val="32"/>
          <w:highlight w:val="none"/>
          <w:u w:val="single"/>
          <w:lang w:val="en-US" w:eastAsia="zh-CN"/>
        </w:rPr>
        <w:t>02</w:t>
      </w:r>
      <w:r>
        <w:rPr>
          <w:rFonts w:hint="eastAsia" w:ascii="仿宋" w:hAnsi="仿宋" w:eastAsia="仿宋" w:cs="仿宋"/>
          <w:sz w:val="32"/>
          <w:szCs w:val="32"/>
          <w:highlight w:val="none"/>
        </w:rPr>
        <w:t>日16时00分，每日上午8:00-11:30，下午2:</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0-4:00到山东省城市服务技师学院后勤处（山东省烟台市高新区海天路1001号）提交报价文件（因疫情防控等原因，请提交报价前提前联系采购人，获得提交报价文件的最新方式）。联系人和联系电话：丛老师，18863891490；2246687。</w:t>
      </w:r>
    </w:p>
    <w:p>
      <w:pPr>
        <w:pStyle w:val="10"/>
        <w:widowControl/>
        <w:spacing w:before="150" w:beforeAutospacing="0" w:after="150" w:afterAutospacing="0" w:line="585" w:lineRule="atLeast"/>
        <w:ind w:firstLine="645"/>
        <w:rPr>
          <w:rFonts w:ascii="仿宋" w:hAnsi="仿宋" w:eastAsia="仿宋" w:cs="仿宋"/>
          <w:sz w:val="32"/>
          <w:szCs w:val="32"/>
          <w:highlight w:val="none"/>
        </w:rPr>
      </w:pPr>
      <w:r>
        <w:rPr>
          <w:rFonts w:hint="eastAsia" w:ascii="仿宋" w:hAnsi="仿宋" w:eastAsia="仿宋" w:cs="仿宋"/>
          <w:sz w:val="32"/>
          <w:szCs w:val="32"/>
          <w:highlight w:val="none"/>
        </w:rPr>
        <w:t>2. 报价人须提供包含以下内容的加盖单位公章的报价资料一份：工商营业执照副本复印件、法定代表人身份证复印件、报价单、服务承诺（包括优惠条件承诺）、联系人及联系方式、投标人资格要求等。上述资料装订成册，自行密封并在封面加盖单位公章，否则视为无效投标。所交资料因存档需要，采购人不予返还。</w:t>
      </w:r>
    </w:p>
    <w:p>
      <w:pPr>
        <w:pStyle w:val="10"/>
        <w:widowControl/>
        <w:spacing w:before="150" w:beforeAutospacing="0" w:after="150" w:afterAutospacing="0" w:line="585" w:lineRule="atLeast"/>
        <w:ind w:firstLine="645"/>
        <w:rPr>
          <w:rFonts w:ascii="仿宋" w:hAnsi="仿宋" w:eastAsia="仿宋" w:cs="仿宋"/>
          <w:sz w:val="32"/>
          <w:szCs w:val="32"/>
          <w:highlight w:val="none"/>
        </w:rPr>
      </w:pPr>
      <w:r>
        <w:rPr>
          <w:rFonts w:hint="eastAsia" w:ascii="仿宋" w:hAnsi="仿宋" w:eastAsia="仿宋" w:cs="仿宋"/>
          <w:sz w:val="32"/>
          <w:szCs w:val="32"/>
          <w:highlight w:val="none"/>
        </w:rPr>
        <w:t>3. 报价为完成清单范围内全部内容的总价，包括材料费、运输费、人工费、利润、税金等所有费用，且综合考虑市场、政策等因素引起的原材料价格上涨等不确定风险。</w:t>
      </w:r>
    </w:p>
    <w:p>
      <w:pPr>
        <w:pStyle w:val="10"/>
        <w:widowControl/>
        <w:spacing w:before="150" w:beforeAutospacing="0" w:after="150" w:afterAutospacing="0" w:line="585" w:lineRule="atLeast"/>
        <w:ind w:firstLine="645"/>
        <w:rPr>
          <w:rFonts w:ascii="楷体" w:hAnsi="楷体" w:eastAsia="楷体" w:cs="仿宋"/>
          <w:sz w:val="32"/>
          <w:szCs w:val="32"/>
          <w:highlight w:val="none"/>
        </w:rPr>
      </w:pPr>
      <w:r>
        <w:rPr>
          <w:rFonts w:hint="eastAsia" w:ascii="楷体" w:hAnsi="楷体" w:eastAsia="楷体" w:cs="楷体"/>
          <w:sz w:val="32"/>
          <w:szCs w:val="32"/>
          <w:highlight w:val="none"/>
        </w:rPr>
        <w:t>四、</w:t>
      </w:r>
      <w:r>
        <w:rPr>
          <w:rFonts w:hint="eastAsia" w:ascii="楷体" w:hAnsi="楷体" w:eastAsia="楷体" w:cs="仿宋"/>
          <w:sz w:val="32"/>
          <w:szCs w:val="32"/>
          <w:highlight w:val="none"/>
        </w:rPr>
        <w:t>其他</w:t>
      </w:r>
      <w:r>
        <w:rPr>
          <w:rFonts w:ascii="楷体" w:hAnsi="楷体" w:eastAsia="楷体" w:cs="仿宋"/>
          <w:sz w:val="32"/>
          <w:szCs w:val="32"/>
          <w:highlight w:val="none"/>
        </w:rPr>
        <w:t>要求</w:t>
      </w:r>
    </w:p>
    <w:p>
      <w:pPr>
        <w:pStyle w:val="10"/>
        <w:widowControl/>
        <w:spacing w:before="150" w:beforeAutospacing="0" w:after="150" w:afterAutospacing="0" w:line="585" w:lineRule="atLeas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1</w:t>
      </w:r>
      <w:r>
        <w:rPr>
          <w:rFonts w:ascii="仿宋" w:hAnsi="仿宋" w:eastAsia="仿宋" w:cs="仿宋"/>
          <w:sz w:val="32"/>
          <w:szCs w:val="32"/>
          <w:highlight w:val="none"/>
        </w:rPr>
        <w:t>.</w:t>
      </w:r>
      <w:r>
        <w:rPr>
          <w:rFonts w:hint="eastAsia" w:ascii="仿宋" w:hAnsi="仿宋" w:eastAsia="仿宋" w:cs="仿宋"/>
          <w:sz w:val="32"/>
          <w:szCs w:val="32"/>
          <w:highlight w:val="none"/>
        </w:rPr>
        <w:t>采购人不组织统一考察现场，无论供应商对现场考察与否，都将被视为熟悉该项目的一切情况，并承担一切与报价有关的风险、责任和义务。</w:t>
      </w:r>
    </w:p>
    <w:p>
      <w:pPr>
        <w:pStyle w:val="10"/>
        <w:widowControl/>
        <w:spacing w:before="150" w:beforeAutospacing="0" w:after="150" w:afterAutospacing="0" w:line="585" w:lineRule="atLeast"/>
        <w:ind w:firstLine="640" w:firstLineChars="200"/>
        <w:rPr>
          <w:rFonts w:ascii="仿宋" w:hAnsi="仿宋" w:eastAsia="仿宋" w:cs="仿宋"/>
          <w:bCs/>
          <w:sz w:val="32"/>
          <w:szCs w:val="32"/>
          <w:highlight w:val="none"/>
        </w:rPr>
      </w:pPr>
      <w:r>
        <w:rPr>
          <w:rFonts w:hint="eastAsia" w:ascii="仿宋" w:hAnsi="仿宋" w:eastAsia="仿宋" w:cs="仿宋"/>
          <w:sz w:val="32"/>
          <w:szCs w:val="32"/>
          <w:highlight w:val="none"/>
        </w:rPr>
        <w:t>2.</w:t>
      </w:r>
      <w:r>
        <w:rPr>
          <w:rFonts w:hint="eastAsia"/>
          <w:highlight w:val="none"/>
        </w:rPr>
        <w:t xml:space="preserve"> </w:t>
      </w:r>
      <w:r>
        <w:rPr>
          <w:rFonts w:hint="eastAsia" w:ascii="仿宋" w:hAnsi="仿宋" w:eastAsia="仿宋" w:cs="仿宋"/>
          <w:bCs/>
          <w:sz w:val="32"/>
          <w:szCs w:val="32"/>
          <w:highlight w:val="none"/>
        </w:rPr>
        <w:t>采购人</w:t>
      </w:r>
      <w:r>
        <w:rPr>
          <w:rFonts w:ascii="仿宋" w:hAnsi="仿宋" w:eastAsia="仿宋" w:cs="仿宋"/>
          <w:bCs/>
          <w:sz w:val="32"/>
          <w:szCs w:val="32"/>
          <w:highlight w:val="none"/>
        </w:rPr>
        <w:t>未设置最低</w:t>
      </w:r>
      <w:r>
        <w:rPr>
          <w:rFonts w:hint="eastAsia" w:ascii="仿宋" w:hAnsi="仿宋" w:eastAsia="仿宋" w:cs="仿宋"/>
          <w:bCs/>
          <w:sz w:val="32"/>
          <w:szCs w:val="32"/>
          <w:highlight w:val="none"/>
        </w:rPr>
        <w:t>限价</w:t>
      </w:r>
      <w:r>
        <w:rPr>
          <w:rFonts w:ascii="仿宋" w:hAnsi="仿宋" w:eastAsia="仿宋" w:cs="仿宋"/>
          <w:bCs/>
          <w:sz w:val="32"/>
          <w:szCs w:val="32"/>
          <w:highlight w:val="none"/>
        </w:rPr>
        <w:t>，</w:t>
      </w:r>
      <w:r>
        <w:rPr>
          <w:rFonts w:hint="eastAsia" w:ascii="仿宋" w:hAnsi="仿宋" w:eastAsia="仿宋" w:cs="仿宋"/>
          <w:bCs/>
          <w:sz w:val="32"/>
          <w:szCs w:val="32"/>
          <w:highlight w:val="none"/>
        </w:rPr>
        <w:t>但投标人报价不得明显低于其他通过符合性审查投标人的报价，也不允许低于成本价报价。否则，采购人将认为其报价有可能影响产品质量、服务质量或不能诚信履约。投标人现场不能对其低报价做出合理解释的，采购人可根据《政府采购货物和服务招标投标管理办法》（财政部87号令）等法律法规认定为无效报价。</w:t>
      </w:r>
    </w:p>
    <w:p>
      <w:pPr>
        <w:pStyle w:val="10"/>
        <w:widowControl/>
        <w:spacing w:before="150" w:beforeAutospacing="0" w:after="150" w:afterAutospacing="0" w:line="585" w:lineRule="atLeast"/>
        <w:ind w:firstLine="640" w:firstLineChars="200"/>
        <w:rPr>
          <w:rFonts w:ascii="仿宋" w:hAnsi="仿宋" w:eastAsia="仿宋" w:cs="仿宋"/>
          <w:bCs/>
          <w:sz w:val="32"/>
          <w:szCs w:val="32"/>
          <w:highlight w:val="none"/>
        </w:rPr>
      </w:pPr>
      <w:r>
        <w:rPr>
          <w:rFonts w:hint="eastAsia" w:ascii="仿宋" w:hAnsi="仿宋" w:eastAsia="仿宋" w:cs="仿宋"/>
          <w:bCs/>
          <w:sz w:val="32"/>
          <w:szCs w:val="32"/>
          <w:highlight w:val="none"/>
        </w:rPr>
        <w:t>3.中标人因自身原因放弃中标人资格，将不允许再次参与该项目，一年内不允许参与采购人其他项目。</w:t>
      </w:r>
    </w:p>
    <w:p>
      <w:pPr>
        <w:pStyle w:val="10"/>
        <w:widowControl/>
        <w:spacing w:before="150" w:beforeAutospacing="0" w:after="150" w:afterAutospacing="0" w:line="585" w:lineRule="atLeast"/>
        <w:ind w:firstLine="640" w:firstLineChars="200"/>
        <w:rPr>
          <w:rFonts w:hint="eastAsia" w:ascii="楷体" w:hAnsi="楷体" w:eastAsia="楷体" w:cs="楷体"/>
          <w:sz w:val="32"/>
          <w:szCs w:val="32"/>
          <w:highlight w:val="none"/>
        </w:rPr>
      </w:pPr>
      <w:r>
        <w:rPr>
          <w:rFonts w:hint="eastAsia" w:ascii="仿宋" w:hAnsi="仿宋" w:eastAsia="仿宋" w:cs="仿宋"/>
          <w:bCs/>
          <w:sz w:val="32"/>
          <w:szCs w:val="32"/>
          <w:highlight w:val="none"/>
        </w:rPr>
        <w:t>4.报价资料应符合完全响应</w:t>
      </w:r>
      <w:r>
        <w:rPr>
          <w:rFonts w:hint="eastAsia" w:ascii="仿宋" w:hAnsi="仿宋" w:eastAsia="仿宋" w:cs="仿宋"/>
          <w:sz w:val="32"/>
          <w:szCs w:val="32"/>
          <w:highlight w:val="none"/>
          <w:shd w:val="clear" w:color="auto" w:fill="FFFFFF"/>
        </w:rPr>
        <w:t>山东省城市服务技师学院校园网互联网出口带宽租用项目</w:t>
      </w:r>
      <w:r>
        <w:rPr>
          <w:rFonts w:hint="eastAsia" w:ascii="仿宋" w:hAnsi="仿宋" w:eastAsia="仿宋" w:cs="仿宋"/>
          <w:sz w:val="32"/>
          <w:szCs w:val="32"/>
          <w:highlight w:val="none"/>
          <w:shd w:val="clear" w:color="auto" w:fill="FFFFFF"/>
          <w:lang w:val="en-US" w:eastAsia="zh-CN"/>
        </w:rPr>
        <w:t>所有</w:t>
      </w:r>
      <w:r>
        <w:rPr>
          <w:rFonts w:hint="eastAsia" w:ascii="仿宋" w:hAnsi="仿宋" w:eastAsia="仿宋" w:cs="仿宋"/>
          <w:bCs/>
          <w:sz w:val="32"/>
          <w:szCs w:val="32"/>
          <w:highlight w:val="none"/>
        </w:rPr>
        <w:t>要求，要求见附件。</w:t>
      </w:r>
    </w:p>
    <w:p>
      <w:pPr>
        <w:pStyle w:val="10"/>
        <w:widowControl/>
        <w:spacing w:before="150" w:beforeAutospacing="0" w:after="150" w:afterAutospacing="0" w:line="585" w:lineRule="atLeast"/>
        <w:ind w:firstLine="645"/>
        <w:rPr>
          <w:rFonts w:ascii="楷体" w:hAnsi="楷体" w:eastAsia="楷体" w:cs="楷体"/>
          <w:sz w:val="32"/>
          <w:szCs w:val="32"/>
          <w:highlight w:val="none"/>
        </w:rPr>
      </w:pPr>
      <w:r>
        <w:rPr>
          <w:rFonts w:hint="eastAsia" w:ascii="楷体" w:hAnsi="楷体" w:eastAsia="楷体" w:cs="楷体"/>
          <w:sz w:val="32"/>
          <w:szCs w:val="32"/>
          <w:highlight w:val="none"/>
        </w:rPr>
        <w:t>五、控制价及付款方式</w:t>
      </w:r>
    </w:p>
    <w:p>
      <w:pPr>
        <w:pStyle w:val="10"/>
        <w:widowControl/>
        <w:spacing w:before="150" w:beforeAutospacing="0" w:after="150" w:afterAutospacing="0" w:line="585" w:lineRule="atLeast"/>
        <w:ind w:firstLine="645"/>
        <w:rPr>
          <w:rFonts w:hint="eastAsia" w:ascii="仿宋" w:hAnsi="仿宋" w:eastAsia="仿宋" w:cs="仿宋"/>
          <w:sz w:val="32"/>
          <w:szCs w:val="32"/>
          <w:highlight w:val="none"/>
        </w:rPr>
      </w:pPr>
      <w:r>
        <w:rPr>
          <w:rFonts w:hint="eastAsia" w:ascii="仿宋" w:hAnsi="仿宋" w:eastAsia="仿宋" w:cs="仿宋"/>
          <w:sz w:val="32"/>
          <w:szCs w:val="32"/>
          <w:highlight w:val="none"/>
        </w:rPr>
        <w:t>本项目总控制价为人民币</w:t>
      </w:r>
      <w:r>
        <w:rPr>
          <w:rFonts w:hint="eastAsia" w:ascii="仿宋" w:hAnsi="仿宋" w:eastAsia="仿宋" w:cs="仿宋"/>
          <w:sz w:val="32"/>
          <w:szCs w:val="32"/>
          <w:highlight w:val="none"/>
          <w:lang w:val="en-US" w:eastAsia="zh-CN"/>
        </w:rPr>
        <w:t>96000</w:t>
      </w:r>
      <w:r>
        <w:rPr>
          <w:rFonts w:hint="eastAsia" w:ascii="仿宋" w:hAnsi="仿宋" w:eastAsia="仿宋" w:cs="仿宋"/>
          <w:sz w:val="32"/>
          <w:szCs w:val="32"/>
          <w:highlight w:val="none"/>
        </w:rPr>
        <w:t>元。2022年按实际使用时间结算费用，以后每年结算一次（根据每年预算到位时间结算）。</w:t>
      </w:r>
    </w:p>
    <w:p>
      <w:pPr>
        <w:pStyle w:val="10"/>
        <w:widowControl/>
        <w:spacing w:before="150" w:beforeAutospacing="0" w:after="150" w:afterAutospacing="0" w:line="585" w:lineRule="atLeast"/>
        <w:ind w:firstLine="645"/>
        <w:rPr>
          <w:rFonts w:ascii="楷体" w:hAnsi="楷体" w:eastAsia="楷体" w:cs="楷体"/>
          <w:sz w:val="32"/>
          <w:szCs w:val="32"/>
          <w:highlight w:val="none"/>
        </w:rPr>
      </w:pPr>
      <w:r>
        <w:rPr>
          <w:rFonts w:hint="eastAsia" w:ascii="楷体" w:hAnsi="楷体" w:eastAsia="楷体" w:cs="楷体"/>
          <w:sz w:val="32"/>
          <w:szCs w:val="32"/>
          <w:highlight w:val="none"/>
        </w:rPr>
        <w:t>六、截止报价时间，报价人不足3家或在评审过程中实质性响应询价文件要求的报价人不足3家，采购人可改为竞争性谈判采购。</w:t>
      </w:r>
    </w:p>
    <w:p>
      <w:pPr>
        <w:pStyle w:val="10"/>
        <w:widowControl/>
        <w:spacing w:before="150" w:beforeAutospacing="0" w:after="150" w:afterAutospacing="0" w:line="585" w:lineRule="atLeast"/>
        <w:ind w:firstLine="645"/>
        <w:rPr>
          <w:rFonts w:ascii="楷体" w:hAnsi="楷体" w:eastAsia="楷体" w:cs="楷体"/>
          <w:sz w:val="32"/>
          <w:szCs w:val="32"/>
          <w:highlight w:val="none"/>
        </w:rPr>
      </w:pPr>
      <w:r>
        <w:rPr>
          <w:rFonts w:hint="eastAsia" w:ascii="楷体" w:hAnsi="楷体" w:eastAsia="楷体" w:cs="楷体"/>
          <w:sz w:val="32"/>
          <w:szCs w:val="32"/>
          <w:highlight w:val="none"/>
        </w:rPr>
        <w:t>七、报价人提交报价资料视为同意该询价公告条款，采购人享有对该条款的解释权。</w:t>
      </w:r>
    </w:p>
    <w:p>
      <w:pPr>
        <w:pStyle w:val="10"/>
        <w:widowControl/>
        <w:spacing w:before="150" w:beforeAutospacing="0" w:after="150" w:afterAutospacing="0" w:line="585" w:lineRule="atLeast"/>
        <w:ind w:firstLine="645"/>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附件：1、报价单</w:t>
      </w:r>
    </w:p>
    <w:p>
      <w:pPr>
        <w:pStyle w:val="10"/>
        <w:widowControl/>
        <w:numPr>
          <w:ilvl w:val="0"/>
          <w:numId w:val="0"/>
        </w:numPr>
        <w:spacing w:before="150" w:beforeAutospacing="0" w:after="150" w:afterAutospacing="0" w:line="585" w:lineRule="atLeast"/>
        <w:ind w:firstLine="1600" w:firstLineChars="5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技术</w:t>
      </w:r>
      <w:r>
        <w:rPr>
          <w:rFonts w:hint="eastAsia" w:ascii="仿宋" w:hAnsi="仿宋" w:eastAsia="仿宋" w:cs="仿宋"/>
          <w:sz w:val="32"/>
          <w:szCs w:val="32"/>
          <w:highlight w:val="none"/>
          <w:lang w:val="en-US" w:eastAsia="zh-CN"/>
        </w:rPr>
        <w:t>要求</w:t>
      </w:r>
    </w:p>
    <w:p>
      <w:pPr>
        <w:pStyle w:val="10"/>
        <w:widowControl/>
        <w:numPr>
          <w:ilvl w:val="0"/>
          <w:numId w:val="0"/>
        </w:numPr>
        <w:spacing w:before="150" w:beforeAutospacing="0" w:after="150" w:afterAutospacing="0" w:line="585" w:lineRule="atLeast"/>
        <w:ind w:firstLine="1600" w:firstLineChars="500"/>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3、相关要求</w:t>
      </w:r>
    </w:p>
    <w:p>
      <w:pPr>
        <w:pStyle w:val="10"/>
        <w:widowControl/>
        <w:spacing w:before="150" w:beforeAutospacing="0" w:after="150" w:afterAutospacing="0" w:line="585" w:lineRule="atLeast"/>
        <w:rPr>
          <w:rFonts w:ascii="仿宋" w:hAnsi="仿宋" w:eastAsia="仿宋" w:cs="仿宋"/>
          <w:sz w:val="32"/>
          <w:szCs w:val="32"/>
          <w:highlight w:val="none"/>
        </w:rPr>
      </w:pPr>
    </w:p>
    <w:p>
      <w:pPr>
        <w:pStyle w:val="10"/>
        <w:widowControl/>
        <w:spacing w:before="150" w:beforeAutospacing="0" w:after="150" w:afterAutospacing="0" w:line="585" w:lineRule="atLeast"/>
        <w:ind w:firstLine="5139" w:firstLineChars="1606"/>
        <w:jc w:val="both"/>
        <w:rPr>
          <w:rFonts w:ascii="仿宋" w:hAnsi="仿宋" w:eastAsia="仿宋" w:cs="仿宋"/>
          <w:sz w:val="32"/>
          <w:szCs w:val="32"/>
          <w:highlight w:val="none"/>
        </w:rPr>
      </w:pPr>
      <w:r>
        <w:rPr>
          <w:rFonts w:hint="eastAsia" w:ascii="仿宋" w:hAnsi="仿宋" w:eastAsia="仿宋" w:cs="仿宋"/>
          <w:sz w:val="32"/>
          <w:szCs w:val="32"/>
          <w:highlight w:val="none"/>
        </w:rPr>
        <w:t>山东省城市服务技师学院</w:t>
      </w:r>
    </w:p>
    <w:p>
      <w:pPr>
        <w:pStyle w:val="10"/>
        <w:widowControl/>
        <w:spacing w:before="150" w:beforeAutospacing="0" w:after="150" w:afterAutospacing="0" w:line="585" w:lineRule="atLeast"/>
        <w:ind w:firstLine="645"/>
        <w:jc w:val="center"/>
        <w:rPr>
          <w:highlight w:val="none"/>
          <w:lang w:eastAsia="zh-Hans"/>
        </w:rPr>
      </w:pPr>
      <w:r>
        <w:rPr>
          <w:rFonts w:hint="eastAsia" w:ascii="仿宋" w:hAnsi="仿宋" w:eastAsia="仿宋" w:cs="仿宋"/>
          <w:sz w:val="32"/>
          <w:szCs w:val="32"/>
          <w:highlight w:val="none"/>
        </w:rPr>
        <w:t xml:space="preserve">                        2022年</w:t>
      </w:r>
      <w:r>
        <w:rPr>
          <w:rFonts w:hint="eastAsia" w:ascii="仿宋" w:hAnsi="仿宋" w:eastAsia="仿宋" w:cs="仿宋"/>
          <w:sz w:val="32"/>
          <w:szCs w:val="32"/>
          <w:highlight w:val="none"/>
          <w:lang w:val="en-US" w:eastAsia="zh-CN"/>
        </w:rPr>
        <w:t>11</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29</w:t>
      </w:r>
      <w:r>
        <w:rPr>
          <w:rFonts w:hint="eastAsia" w:ascii="仿宋" w:hAnsi="仿宋" w:eastAsia="仿宋" w:cs="仿宋"/>
          <w:sz w:val="32"/>
          <w:szCs w:val="32"/>
          <w:highlight w:val="none"/>
        </w:rPr>
        <w:t>日</w:t>
      </w:r>
    </w:p>
    <w:p>
      <w:pPr>
        <w:rPr>
          <w:rFonts w:hint="eastAsia" w:ascii="仿宋" w:hAnsi="仿宋" w:eastAsia="仿宋" w:cs="仿宋"/>
          <w:kern w:val="44"/>
          <w:sz w:val="28"/>
          <w:szCs w:val="28"/>
          <w:highlight w:val="none"/>
        </w:rPr>
      </w:pPr>
    </w:p>
    <w:p>
      <w:pPr>
        <w:pStyle w:val="9"/>
        <w:rPr>
          <w:rFonts w:hint="eastAsia"/>
          <w:highlight w:val="none"/>
        </w:rPr>
      </w:pPr>
    </w:p>
    <w:p>
      <w:pPr>
        <w:pStyle w:val="9"/>
        <w:rPr>
          <w:highlight w:val="none"/>
        </w:rPr>
      </w:pPr>
    </w:p>
    <w:p>
      <w:pPr>
        <w:rPr>
          <w:highlight w:val="none"/>
        </w:rPr>
      </w:pPr>
      <w:r>
        <w:rPr>
          <w:highlight w:val="none"/>
        </w:rPr>
        <w:br w:type="page"/>
      </w:r>
    </w:p>
    <w:p>
      <w:pPr>
        <w:pStyle w:val="2"/>
        <w:rPr>
          <w:highlight w:val="none"/>
        </w:rPr>
      </w:pPr>
    </w:p>
    <w:p>
      <w:pPr>
        <w:pStyle w:val="9"/>
        <w:rPr>
          <w:highlight w:val="none"/>
        </w:rPr>
      </w:pPr>
    </w:p>
    <w:p>
      <w:pPr>
        <w:rPr>
          <w:highlight w:val="none"/>
        </w:rPr>
      </w:pPr>
    </w:p>
    <w:p>
      <w:pPr>
        <w:rPr>
          <w:rFonts w:ascii="仿宋" w:hAnsi="仿宋" w:eastAsia="仿宋" w:cs="仿宋"/>
          <w:kern w:val="44"/>
          <w:sz w:val="28"/>
          <w:szCs w:val="28"/>
          <w:highlight w:val="none"/>
        </w:rPr>
      </w:pPr>
      <w:r>
        <w:rPr>
          <w:rFonts w:hint="eastAsia" w:ascii="仿宋" w:hAnsi="仿宋" w:eastAsia="仿宋" w:cs="仿宋"/>
          <w:kern w:val="44"/>
          <w:sz w:val="28"/>
          <w:szCs w:val="28"/>
          <w:highlight w:val="none"/>
        </w:rPr>
        <w:t>附件1：报价单</w:t>
      </w:r>
    </w:p>
    <w:p>
      <w:pPr>
        <w:pStyle w:val="8"/>
        <w:rPr>
          <w:rFonts w:ascii="仿宋" w:hAnsi="仿宋" w:eastAsia="仿宋" w:cs="仿宋"/>
          <w:kern w:val="44"/>
          <w:sz w:val="28"/>
          <w:szCs w:val="28"/>
          <w:highlight w:val="none"/>
        </w:rPr>
      </w:pPr>
    </w:p>
    <w:p>
      <w:pPr>
        <w:jc w:val="center"/>
        <w:rPr>
          <w:rFonts w:ascii="黑体" w:eastAsia="黑体"/>
          <w:sz w:val="44"/>
          <w:szCs w:val="44"/>
          <w:highlight w:val="none"/>
          <w:lang w:bidi="ar"/>
        </w:rPr>
      </w:pPr>
      <w:r>
        <w:rPr>
          <w:rFonts w:hint="eastAsia" w:ascii="黑体" w:eastAsia="黑体"/>
          <w:sz w:val="44"/>
          <w:szCs w:val="44"/>
          <w:highlight w:val="none"/>
          <w:lang w:bidi="ar"/>
        </w:rPr>
        <w:t>报价单</w:t>
      </w:r>
    </w:p>
    <w:p>
      <w:pPr>
        <w:rPr>
          <w:rFonts w:ascii="仿宋_GB2312" w:eastAsia="仿宋_GB2312"/>
          <w:sz w:val="32"/>
          <w:szCs w:val="32"/>
          <w:highlight w:val="none"/>
          <w:lang w:bidi="ar"/>
        </w:rPr>
      </w:pPr>
      <w:r>
        <w:rPr>
          <w:rFonts w:hint="eastAsia" w:ascii="仿宋_GB2312" w:eastAsia="仿宋_GB2312"/>
          <w:sz w:val="32"/>
          <w:szCs w:val="32"/>
          <w:highlight w:val="none"/>
          <w:lang w:bidi="ar"/>
        </w:rPr>
        <w:t>山东省城市服务技师学院：</w:t>
      </w:r>
    </w:p>
    <w:p>
      <w:pPr>
        <w:ind w:left="319" w:leftChars="152" w:firstLine="320" w:firstLineChars="100"/>
        <w:rPr>
          <w:rFonts w:ascii="仿宋_GB2312" w:hAnsi="宋体" w:eastAsia="仿宋_GB2312" w:cs="宋体"/>
          <w:bCs/>
          <w:sz w:val="32"/>
          <w:szCs w:val="32"/>
          <w:highlight w:val="none"/>
        </w:rPr>
      </w:pPr>
      <w:r>
        <w:rPr>
          <w:rFonts w:hint="eastAsia" w:ascii="仿宋_GB2312" w:hAnsi="宋体" w:eastAsia="仿宋_GB2312" w:cs="宋体"/>
          <w:bCs/>
          <w:sz w:val="32"/>
          <w:szCs w:val="32"/>
          <w:highlight w:val="none"/>
        </w:rPr>
        <w:t>我单位在</w:t>
      </w:r>
      <w:r>
        <w:rPr>
          <w:rFonts w:hint="eastAsia" w:ascii="仿宋" w:hAnsi="仿宋" w:eastAsia="仿宋" w:cs="仿宋"/>
          <w:sz w:val="32"/>
          <w:szCs w:val="32"/>
          <w:highlight w:val="none"/>
          <w:shd w:val="clear" w:color="auto" w:fill="FFFFFF"/>
        </w:rPr>
        <w:t>山东省城市服务技师学院校园网互联网出口带宽租用项目</w:t>
      </w:r>
      <w:r>
        <w:rPr>
          <w:rFonts w:hint="eastAsia" w:ascii="仿宋_GB2312" w:hAnsi="宋体" w:eastAsia="仿宋_GB2312" w:cs="宋体"/>
          <w:bCs/>
          <w:sz w:val="32"/>
          <w:szCs w:val="32"/>
          <w:highlight w:val="none"/>
        </w:rPr>
        <w:t>中的报价为人民币_</w:t>
      </w:r>
      <w:r>
        <w:rPr>
          <w:rFonts w:ascii="仿宋_GB2312" w:hAnsi="宋体" w:eastAsia="仿宋_GB2312" w:cs="宋体"/>
          <w:bCs/>
          <w:sz w:val="32"/>
          <w:szCs w:val="32"/>
          <w:highlight w:val="none"/>
        </w:rPr>
        <w:t>_________________</w:t>
      </w:r>
      <w:r>
        <w:rPr>
          <w:rFonts w:hint="eastAsia" w:ascii="仿宋_GB2312" w:hAnsi="宋体" w:eastAsia="仿宋_GB2312" w:cs="宋体"/>
          <w:bCs/>
          <w:sz w:val="32"/>
          <w:szCs w:val="32"/>
          <w:highlight w:val="none"/>
        </w:rPr>
        <w:t>，大写_</w:t>
      </w:r>
      <w:r>
        <w:rPr>
          <w:rFonts w:ascii="仿宋_GB2312" w:hAnsi="宋体" w:eastAsia="仿宋_GB2312" w:cs="宋体"/>
          <w:bCs/>
          <w:sz w:val="32"/>
          <w:szCs w:val="32"/>
          <w:highlight w:val="none"/>
        </w:rPr>
        <w:t>_______________________</w:t>
      </w:r>
      <w:r>
        <w:rPr>
          <w:rFonts w:hint="eastAsia" w:ascii="仿宋_GB2312" w:hAnsi="宋体" w:eastAsia="仿宋_GB2312" w:cs="宋体"/>
          <w:bCs/>
          <w:sz w:val="32"/>
          <w:szCs w:val="32"/>
          <w:highlight w:val="none"/>
        </w:rPr>
        <w:t>。</w:t>
      </w:r>
    </w:p>
    <w:p>
      <w:pPr>
        <w:pStyle w:val="5"/>
        <w:rPr>
          <w:rFonts w:hint="eastAsia" w:ascii="仿宋_GB2312" w:eastAsia="仿宋_GB2312"/>
          <w:sz w:val="32"/>
          <w:szCs w:val="32"/>
          <w:highlight w:val="none"/>
        </w:rPr>
      </w:pPr>
    </w:p>
    <w:p>
      <w:pPr>
        <w:pStyle w:val="5"/>
        <w:ind w:firstLine="320" w:firstLineChars="100"/>
        <w:rPr>
          <w:rFonts w:ascii="仿宋_GB2312" w:eastAsia="仿宋_GB2312"/>
          <w:sz w:val="32"/>
          <w:szCs w:val="32"/>
          <w:highlight w:val="none"/>
        </w:rPr>
      </w:pPr>
      <w:r>
        <w:rPr>
          <w:rFonts w:hint="eastAsia" w:ascii="仿宋_GB2312" w:eastAsia="仿宋_GB2312"/>
          <w:sz w:val="32"/>
          <w:szCs w:val="32"/>
          <w:highlight w:val="none"/>
        </w:rPr>
        <w:t>联系人：</w:t>
      </w:r>
    </w:p>
    <w:p>
      <w:pPr>
        <w:ind w:firstLine="320" w:firstLineChars="100"/>
        <w:rPr>
          <w:rFonts w:ascii="仿宋_GB2312" w:eastAsia="仿宋_GB2312"/>
          <w:sz w:val="32"/>
          <w:szCs w:val="32"/>
          <w:highlight w:val="none"/>
        </w:rPr>
      </w:pPr>
      <w:r>
        <w:rPr>
          <w:rFonts w:hint="eastAsia" w:ascii="仿宋_GB2312" w:eastAsia="仿宋_GB2312"/>
          <w:sz w:val="32"/>
          <w:szCs w:val="32"/>
          <w:highlight w:val="none"/>
        </w:rPr>
        <w:t>联系电话：</w:t>
      </w:r>
    </w:p>
    <w:p>
      <w:pPr>
        <w:pStyle w:val="3"/>
        <w:jc w:val="both"/>
        <w:rPr>
          <w:sz w:val="32"/>
          <w:highlight w:val="none"/>
          <w:lang w:bidi="ar"/>
        </w:rPr>
      </w:pPr>
    </w:p>
    <w:p>
      <w:pPr>
        <w:rPr>
          <w:highlight w:val="none"/>
        </w:rPr>
      </w:pPr>
    </w:p>
    <w:p>
      <w:pPr>
        <w:pStyle w:val="5"/>
        <w:ind w:right="600"/>
        <w:jc w:val="center"/>
        <w:rPr>
          <w:sz w:val="32"/>
          <w:szCs w:val="32"/>
          <w:highlight w:val="none"/>
          <w:lang w:bidi="ar"/>
        </w:rPr>
      </w:pPr>
      <w:r>
        <w:rPr>
          <w:rFonts w:hint="eastAsia"/>
          <w:sz w:val="32"/>
          <w:szCs w:val="32"/>
          <w:highlight w:val="none"/>
          <w:lang w:bidi="ar"/>
        </w:rPr>
        <w:t xml:space="preserve">                 报价单位（章）：</w:t>
      </w:r>
    </w:p>
    <w:p>
      <w:pPr>
        <w:pStyle w:val="5"/>
        <w:ind w:right="600"/>
        <w:jc w:val="center"/>
        <w:rPr>
          <w:highlight w:val="none"/>
          <w:lang w:bidi="ar"/>
        </w:rPr>
      </w:pPr>
      <w:r>
        <w:rPr>
          <w:rFonts w:hint="eastAsia"/>
          <w:sz w:val="32"/>
          <w:szCs w:val="32"/>
          <w:highlight w:val="none"/>
          <w:lang w:bidi="ar"/>
        </w:rPr>
        <w:t xml:space="preserve">                            2022年   月  日</w:t>
      </w:r>
    </w:p>
    <w:p>
      <w:pPr>
        <w:rPr>
          <w:highlight w:val="none"/>
        </w:rPr>
      </w:pPr>
    </w:p>
    <w:p>
      <w:pPr>
        <w:pStyle w:val="8"/>
        <w:jc w:val="left"/>
        <w:rPr>
          <w:b/>
          <w:bCs/>
          <w:highlight w:val="none"/>
        </w:rPr>
      </w:pPr>
    </w:p>
    <w:p>
      <w:pPr>
        <w:rPr>
          <w:rFonts w:ascii="仿宋" w:hAnsi="仿宋" w:eastAsia="仿宋" w:cs="仿宋"/>
          <w:kern w:val="0"/>
          <w:sz w:val="32"/>
          <w:szCs w:val="32"/>
          <w:highlight w:val="none"/>
          <w:lang w:bidi="ar"/>
        </w:rPr>
      </w:pPr>
      <w:r>
        <w:rPr>
          <w:rFonts w:ascii="仿宋" w:hAnsi="仿宋" w:eastAsia="仿宋" w:cs="仿宋"/>
          <w:kern w:val="0"/>
          <w:sz w:val="32"/>
          <w:szCs w:val="32"/>
          <w:highlight w:val="none"/>
          <w:lang w:bidi="ar"/>
        </w:rPr>
        <w:br w:type="page"/>
      </w:r>
    </w:p>
    <w:p>
      <w:pPr>
        <w:pStyle w:val="9"/>
        <w:rPr>
          <w:highlight w:val="none"/>
        </w:rPr>
      </w:pPr>
    </w:p>
    <w:p>
      <w:pPr>
        <w:rPr>
          <w:rFonts w:hint="eastAsia"/>
          <w:sz w:val="36"/>
          <w:szCs w:val="36"/>
          <w:highlight w:val="none"/>
          <w:lang w:val="en-US" w:eastAsia="zh-CN"/>
        </w:rPr>
      </w:pPr>
      <w:r>
        <w:rPr>
          <w:rFonts w:hint="eastAsia"/>
          <w:sz w:val="36"/>
          <w:szCs w:val="36"/>
          <w:highlight w:val="none"/>
        </w:rPr>
        <w:t>附件2：</w:t>
      </w:r>
      <w:r>
        <w:rPr>
          <w:rFonts w:hint="eastAsia"/>
          <w:sz w:val="36"/>
          <w:szCs w:val="36"/>
          <w:highlight w:val="none"/>
          <w:lang w:val="en-US" w:eastAsia="zh-CN"/>
        </w:rPr>
        <w:t>技术要求</w:t>
      </w:r>
    </w:p>
    <w:p>
      <w:pPr>
        <w:pStyle w:val="17"/>
        <w:autoSpaceDE/>
        <w:autoSpaceDN/>
        <w:ind w:left="0" w:leftChars="0" w:firstLine="640" w:firstLineChars="200"/>
        <w:jc w:val="both"/>
        <w:rPr>
          <w:rFonts w:hint="default"/>
          <w:highlight w:val="none"/>
          <w:lang w:val="en-US" w:eastAsia="zh-CN"/>
        </w:rPr>
      </w:pPr>
      <w:r>
        <w:rPr>
          <w:rFonts w:hint="eastAsia" w:ascii="仿宋_GB2312" w:hAnsi="仿宋_GB2312" w:eastAsia="仿宋_GB2312" w:cs="仿宋_GB2312"/>
          <w:color w:val="auto"/>
          <w:kern w:val="2"/>
          <w:sz w:val="32"/>
          <w:szCs w:val="32"/>
          <w:highlight w:val="none"/>
          <w:lang w:val="en-US" w:eastAsia="zh-CN" w:bidi="ar-SA"/>
        </w:rPr>
        <w:t>因学院在校师生人数较多，对网络需求量较高，部分教室网速较慢，为提高学校师生上网速率，提升师生日常办公及教学质量，现需购买1Gbps校园网互联网出口带宽。</w:t>
      </w:r>
    </w:p>
    <w:p>
      <w:pPr>
        <w:pStyle w:val="17"/>
        <w:autoSpaceDE/>
        <w:autoSpaceDN/>
        <w:ind w:left="0" w:leftChars="0" w:firstLine="640" w:firstLineChars="200"/>
        <w:jc w:val="both"/>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lang w:val="en-US" w:eastAsia="zh-CN"/>
        </w:rPr>
        <w:t>一、采购内容：</w:t>
      </w:r>
      <w:r>
        <w:rPr>
          <w:rFonts w:hint="default" w:ascii="仿宋_GB2312" w:hAnsi="仿宋_GB2312" w:eastAsia="仿宋_GB2312" w:cs="仿宋_GB2312"/>
          <w:color w:val="auto"/>
          <w:kern w:val="2"/>
          <w:sz w:val="32"/>
          <w:szCs w:val="32"/>
          <w:highlight w:val="none"/>
          <w:lang w:val="en-US" w:eastAsia="zh-CN" w:bidi="ar-SA"/>
        </w:rPr>
        <w:t>山东省城市服务技师学院</w:t>
      </w:r>
      <w:r>
        <w:rPr>
          <w:rFonts w:hint="eastAsia" w:ascii="仿宋_GB2312" w:hAnsi="仿宋_GB2312" w:eastAsia="仿宋_GB2312" w:cs="仿宋_GB2312"/>
          <w:color w:val="auto"/>
          <w:kern w:val="2"/>
          <w:sz w:val="32"/>
          <w:szCs w:val="32"/>
          <w:highlight w:val="none"/>
          <w:lang w:val="en-US" w:eastAsia="zh-CN" w:bidi="ar-SA"/>
        </w:rPr>
        <w:t>1Gbps校园网互联网出口带宽。</w:t>
      </w:r>
    </w:p>
    <w:p>
      <w:pPr>
        <w:pStyle w:val="17"/>
        <w:numPr>
          <w:ilvl w:val="0"/>
          <w:numId w:val="0"/>
        </w:numPr>
        <w:ind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二、技术要求：</w:t>
      </w:r>
    </w:p>
    <w:p>
      <w:pPr>
        <w:pStyle w:val="5"/>
        <w:keepNext w:val="0"/>
        <w:keepLines w:val="0"/>
        <w:pageBreakBefore w:val="0"/>
        <w:widowControl w:val="0"/>
        <w:kinsoku/>
        <w:wordWrap/>
        <w:overflowPunct/>
        <w:topLinePunct w:val="0"/>
        <w:autoSpaceDE w:val="0"/>
        <w:autoSpaceDN w:val="0"/>
        <w:bidi w:val="0"/>
        <w:adjustRightInd/>
        <w:snapToGrid/>
        <w:spacing w:line="240" w:lineRule="auto"/>
        <w:ind w:left="0" w:right="0"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1、合计 1Gbps 对称带宽的 IPv4 互联网专线，不限制并发连接数，并具备随时升级的条件；市级城域网骨干接入，物理链路 1G 聚合接入或其他冗余接入方式。实际可用带宽不小于协议带宽 95%，丢包率不大于 1%，提供连续并可长期使用的全球可达的互联网 IPv4 地址（IP 地址段经过 CNNIC 或 APNIC 分配），30 个，任何环节不得进行 NAT 转换。</w:t>
      </w:r>
    </w:p>
    <w:p>
      <w:pPr>
        <w:pStyle w:val="5"/>
        <w:keepNext w:val="0"/>
        <w:keepLines w:val="0"/>
        <w:pageBreakBefore w:val="0"/>
        <w:widowControl w:val="0"/>
        <w:kinsoku/>
        <w:wordWrap/>
        <w:overflowPunct/>
        <w:topLinePunct w:val="0"/>
        <w:autoSpaceDE w:val="0"/>
        <w:autoSpaceDN w:val="0"/>
        <w:bidi w:val="0"/>
        <w:adjustRightInd/>
        <w:snapToGrid/>
        <w:spacing w:line="240" w:lineRule="auto"/>
        <w:ind w:left="0" w:right="0"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2、接入服务提供商要保障网络通畅，提供 7*24 小时快速反应，提供全面线路维护方案，提供线路维护承诺，线路故障率＜0.001%，主干网设备可用率＞99.9%。</w:t>
      </w:r>
    </w:p>
    <w:p>
      <w:pPr>
        <w:pStyle w:val="5"/>
        <w:keepNext w:val="0"/>
        <w:keepLines w:val="0"/>
        <w:pageBreakBefore w:val="0"/>
        <w:widowControl w:val="0"/>
        <w:kinsoku/>
        <w:wordWrap/>
        <w:overflowPunct/>
        <w:topLinePunct w:val="0"/>
        <w:autoSpaceDE w:val="0"/>
        <w:autoSpaceDN w:val="0"/>
        <w:bidi w:val="0"/>
        <w:adjustRightInd/>
        <w:snapToGrid/>
        <w:spacing w:line="240" w:lineRule="auto"/>
        <w:ind w:left="0" w:right="0"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3、接入服务提供商如遇到网络割接、线路迁移等可能对线路造成中断时，应提前通知并提供解决方案。接入服务商有责任和义务在专线意外中断时，及时通知采购人，积极处理缩短恢复时间。</w:t>
      </w:r>
    </w:p>
    <w:p>
      <w:pPr>
        <w:pStyle w:val="5"/>
        <w:keepNext w:val="0"/>
        <w:keepLines w:val="0"/>
        <w:pageBreakBefore w:val="0"/>
        <w:widowControl w:val="0"/>
        <w:kinsoku/>
        <w:wordWrap/>
        <w:overflowPunct/>
        <w:topLinePunct w:val="0"/>
        <w:autoSpaceDE w:val="0"/>
        <w:autoSpaceDN w:val="0"/>
        <w:bidi w:val="0"/>
        <w:adjustRightInd/>
        <w:snapToGrid/>
        <w:spacing w:line="240" w:lineRule="auto"/>
        <w:ind w:left="0" w:right="0"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4、若供应商后期对系统服务进行升级，应免费为采购人提供优化升级，采购人不另外支付相关费用。</w:t>
      </w:r>
    </w:p>
    <w:p>
      <w:pPr>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br w:type="page"/>
      </w:r>
    </w:p>
    <w:p>
      <w:pPr>
        <w:pStyle w:val="17"/>
        <w:numPr>
          <w:ilvl w:val="0"/>
          <w:numId w:val="0"/>
        </w:numPr>
        <w:ind w:leftChars="0"/>
        <w:rPr>
          <w:rFonts w:hint="default"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附件3：相关要求</w:t>
      </w:r>
    </w:p>
    <w:p>
      <w:pPr>
        <w:pStyle w:val="17"/>
        <w:numPr>
          <w:ilvl w:val="0"/>
          <w:numId w:val="0"/>
        </w:numPr>
        <w:ind w:leftChars="200"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服务时间及地点：</w:t>
      </w:r>
    </w:p>
    <w:p>
      <w:pPr>
        <w:pStyle w:val="17"/>
        <w:numPr>
          <w:ilvl w:val="0"/>
          <w:numId w:val="0"/>
        </w:numPr>
        <w:ind w:leftChars="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（1）服务时间：自合同签订之日起3 年。</w:t>
      </w:r>
    </w:p>
    <w:p>
      <w:pPr>
        <w:pStyle w:val="17"/>
        <w:numPr>
          <w:ilvl w:val="0"/>
          <w:numId w:val="1"/>
        </w:numPr>
        <w:ind w:left="-640" w:leftChars="0" w:firstLine="640" w:firstLineChars="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服务地点：采购人指定地点。</w:t>
      </w:r>
    </w:p>
    <w:p>
      <w:pPr>
        <w:pStyle w:val="17"/>
        <w:numPr>
          <w:ilvl w:val="0"/>
          <w:numId w:val="0"/>
        </w:numPr>
        <w:ind w:leftChars="0" w:firstLine="640" w:firstLineChars="200"/>
        <w:rPr>
          <w:rFonts w:hint="default" w:ascii="仿宋_GB2312" w:hAnsi="仿宋_GB2312" w:eastAsia="仿宋_GB2312" w:cs="仿宋_GB2312"/>
          <w:color w:val="auto"/>
          <w:sz w:val="32"/>
          <w:szCs w:val="32"/>
          <w:highlight w:val="none"/>
          <w:lang w:val="en-US" w:eastAsia="zh-CN"/>
        </w:rPr>
      </w:pPr>
    </w:p>
    <w:p>
      <w:pPr>
        <w:pStyle w:val="17"/>
        <w:numPr>
          <w:ilvl w:val="0"/>
          <w:numId w:val="0"/>
        </w:numPr>
        <w:ind w:leftChars="200"/>
        <w:rPr>
          <w:rFonts w:hint="default" w:ascii="仿宋_GB2312" w:hAnsi="仿宋_GB2312" w:eastAsia="仿宋_GB2312" w:cs="仿宋_GB2312"/>
          <w:color w:val="auto"/>
          <w:sz w:val="32"/>
          <w:szCs w:val="32"/>
          <w:highlight w:val="none"/>
          <w:lang w:val="en-US" w:eastAsia="zh-CN"/>
        </w:rPr>
      </w:pPr>
    </w:p>
    <w:p>
      <w:pPr>
        <w:rPr>
          <w:rFonts w:hint="default"/>
          <w:highlight w:val="none"/>
          <w:lang w:val="en-US" w:eastAsia="zh-CN"/>
        </w:rPr>
      </w:pPr>
    </w:p>
    <w:bookmarkEnd w:id="0"/>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FE5D63"/>
    <w:multiLevelType w:val="singleLevel"/>
    <w:tmpl w:val="FEFE5D63"/>
    <w:lvl w:ilvl="0" w:tentative="0">
      <w:start w:val="1"/>
      <w:numFmt w:val="decimal"/>
      <w:suff w:val="nothing"/>
      <w:lvlText w:val="（%1）"/>
      <w:lvlJc w:val="left"/>
      <w:pPr>
        <w:ind w:left="-6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MwYjA2ZjQ5YzUwMmUyMWQ5MWY1OTAxOGE4ZGNmN2UifQ=="/>
  </w:docVars>
  <w:rsids>
    <w:rsidRoot w:val="00B8598A"/>
    <w:rsid w:val="00062150"/>
    <w:rsid w:val="00121454"/>
    <w:rsid w:val="00122E9B"/>
    <w:rsid w:val="0016294F"/>
    <w:rsid w:val="001A3C19"/>
    <w:rsid w:val="001C61D3"/>
    <w:rsid w:val="001F4E43"/>
    <w:rsid w:val="00205732"/>
    <w:rsid w:val="0024523C"/>
    <w:rsid w:val="003C4264"/>
    <w:rsid w:val="00416030"/>
    <w:rsid w:val="00447404"/>
    <w:rsid w:val="00462738"/>
    <w:rsid w:val="00587B12"/>
    <w:rsid w:val="00613F80"/>
    <w:rsid w:val="00644D79"/>
    <w:rsid w:val="0069446E"/>
    <w:rsid w:val="006A4E9C"/>
    <w:rsid w:val="00702EAB"/>
    <w:rsid w:val="007C5B67"/>
    <w:rsid w:val="008A53BC"/>
    <w:rsid w:val="008C4DFA"/>
    <w:rsid w:val="008D6214"/>
    <w:rsid w:val="009B3C32"/>
    <w:rsid w:val="00A673B4"/>
    <w:rsid w:val="00B23A33"/>
    <w:rsid w:val="00B8598A"/>
    <w:rsid w:val="00BB7C0B"/>
    <w:rsid w:val="00C16EE6"/>
    <w:rsid w:val="00CA7AE2"/>
    <w:rsid w:val="00D008C1"/>
    <w:rsid w:val="00DA02AB"/>
    <w:rsid w:val="00DD1924"/>
    <w:rsid w:val="00F03CD8"/>
    <w:rsid w:val="00F719FA"/>
    <w:rsid w:val="01166FE6"/>
    <w:rsid w:val="046F4587"/>
    <w:rsid w:val="06D0507E"/>
    <w:rsid w:val="06FD2896"/>
    <w:rsid w:val="08CC3E0A"/>
    <w:rsid w:val="0C127D8D"/>
    <w:rsid w:val="0CB60CAE"/>
    <w:rsid w:val="0D060633"/>
    <w:rsid w:val="0D304EE6"/>
    <w:rsid w:val="0D6202AC"/>
    <w:rsid w:val="0DAD6BC9"/>
    <w:rsid w:val="0E06452B"/>
    <w:rsid w:val="10094278"/>
    <w:rsid w:val="10CD1887"/>
    <w:rsid w:val="15032F06"/>
    <w:rsid w:val="16027CCE"/>
    <w:rsid w:val="1B4B48F2"/>
    <w:rsid w:val="1D8F4C97"/>
    <w:rsid w:val="1DFB34B4"/>
    <w:rsid w:val="1F2F2768"/>
    <w:rsid w:val="1F455F0E"/>
    <w:rsid w:val="208465D8"/>
    <w:rsid w:val="20C3321F"/>
    <w:rsid w:val="21B80854"/>
    <w:rsid w:val="22C30BE6"/>
    <w:rsid w:val="23BE2A01"/>
    <w:rsid w:val="27FB62BC"/>
    <w:rsid w:val="28DD2273"/>
    <w:rsid w:val="29342F34"/>
    <w:rsid w:val="2E2446A0"/>
    <w:rsid w:val="335C6885"/>
    <w:rsid w:val="366D52F7"/>
    <w:rsid w:val="37357CCA"/>
    <w:rsid w:val="3CD85F7F"/>
    <w:rsid w:val="3E47606A"/>
    <w:rsid w:val="3F2662DB"/>
    <w:rsid w:val="3FE7577B"/>
    <w:rsid w:val="3FF37812"/>
    <w:rsid w:val="415011C2"/>
    <w:rsid w:val="497D499A"/>
    <w:rsid w:val="4BFB17A1"/>
    <w:rsid w:val="4D0347BD"/>
    <w:rsid w:val="532A086D"/>
    <w:rsid w:val="55EB1D4E"/>
    <w:rsid w:val="567857B9"/>
    <w:rsid w:val="599E7D41"/>
    <w:rsid w:val="5A1C60DC"/>
    <w:rsid w:val="5CFF1951"/>
    <w:rsid w:val="5DFF1020"/>
    <w:rsid w:val="622E5C0C"/>
    <w:rsid w:val="644F2874"/>
    <w:rsid w:val="6597408E"/>
    <w:rsid w:val="65AA11A0"/>
    <w:rsid w:val="6F7A7103"/>
    <w:rsid w:val="70B75FBE"/>
    <w:rsid w:val="717573DC"/>
    <w:rsid w:val="72B25EF2"/>
    <w:rsid w:val="72B4110E"/>
    <w:rsid w:val="772C7A34"/>
    <w:rsid w:val="787362B9"/>
    <w:rsid w:val="7B6C2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line="360" w:lineRule="auto"/>
      <w:jc w:val="center"/>
      <w:outlineLvl w:val="1"/>
    </w:pPr>
    <w:rPr>
      <w:rFonts w:ascii="Cambria" w:hAnsi="Cambria"/>
      <w:b/>
      <w:bCs/>
      <w:sz w:val="24"/>
      <w:szCs w:val="32"/>
    </w:rPr>
  </w:style>
  <w:style w:type="paragraph" w:styleId="4">
    <w:name w:val="heading 4"/>
    <w:basedOn w:val="1"/>
    <w:next w:val="1"/>
    <w:qFormat/>
    <w:uiPriority w:val="0"/>
    <w:pPr>
      <w:spacing w:before="100" w:beforeAutospacing="1" w:after="100" w:afterAutospacing="1"/>
      <w:jc w:val="left"/>
      <w:outlineLvl w:val="3"/>
    </w:pPr>
    <w:rPr>
      <w:rFonts w:hint="eastAsia" w:ascii="宋体" w:hAnsi="宋体"/>
      <w:b/>
      <w:kern w:val="0"/>
      <w:sz w:val="2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qFormat/>
    <w:uiPriority w:val="0"/>
    <w:pPr>
      <w:widowControl w:val="0"/>
      <w:spacing w:line="360" w:lineRule="auto"/>
      <w:ind w:firstLine="420" w:firstLineChars="200"/>
      <w:jc w:val="both"/>
    </w:pPr>
    <w:rPr>
      <w:rFonts w:eastAsia="仿宋" w:asciiTheme="minorAscii" w:hAnsiTheme="minorAscii" w:cstheme="minorBidi"/>
      <w:kern w:val="2"/>
      <w:sz w:val="24"/>
      <w:szCs w:val="24"/>
      <w:lang w:val="en-US" w:eastAsia="zh-CN" w:bidi="ar-SA"/>
    </w:rPr>
  </w:style>
  <w:style w:type="paragraph" w:styleId="5">
    <w:name w:val="Body Text"/>
    <w:basedOn w:val="1"/>
    <w:next w:val="1"/>
    <w:qFormat/>
    <w:uiPriority w:val="0"/>
    <w:pPr>
      <w:spacing w:after="12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spacing w:line="380" w:lineRule="exact"/>
      <w:jc w:val="distribute"/>
    </w:pPr>
    <w:rPr>
      <w:rFonts w:eastAsia="黑体"/>
    </w:rPr>
  </w:style>
  <w:style w:type="paragraph" w:styleId="9">
    <w:name w:val="HTML Preformatted"/>
    <w:basedOn w:val="1"/>
    <w:next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10">
    <w:name w:val="Normal (Web)"/>
    <w:basedOn w:val="1"/>
    <w:qFormat/>
    <w:uiPriority w:val="0"/>
    <w:pPr>
      <w:spacing w:before="100" w:beforeAutospacing="1" w:after="100" w:afterAutospacing="1"/>
      <w:jc w:val="left"/>
    </w:pPr>
    <w:rPr>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标4"/>
    <w:basedOn w:val="15"/>
    <w:next w:val="1"/>
    <w:qFormat/>
    <w:uiPriority w:val="99"/>
    <w:pPr>
      <w:spacing w:before="240"/>
      <w:outlineLvl w:val="3"/>
    </w:pPr>
    <w:rPr>
      <w:rFonts w:cs="Arial"/>
    </w:rPr>
  </w:style>
  <w:style w:type="paragraph" w:customStyle="1" w:styleId="15">
    <w:name w:val="标3"/>
    <w:basedOn w:val="1"/>
    <w:qFormat/>
    <w:uiPriority w:val="99"/>
    <w:pPr>
      <w:adjustRightInd w:val="0"/>
      <w:spacing w:before="360" w:after="360" w:line="240" w:lineRule="exact"/>
      <w:jc w:val="left"/>
      <w:outlineLvl w:val="2"/>
    </w:pPr>
    <w:rPr>
      <w:rFonts w:ascii="Arial" w:hAnsi="Arial"/>
      <w:b/>
      <w:bCs/>
      <w:kern w:val="24"/>
    </w:rPr>
  </w:style>
  <w:style w:type="paragraph" w:customStyle="1" w:styleId="16">
    <w:name w:val="商院正文"/>
    <w:basedOn w:val="1"/>
    <w:qFormat/>
    <w:uiPriority w:val="0"/>
    <w:pPr>
      <w:spacing w:line="560" w:lineRule="exact"/>
      <w:ind w:firstLine="200" w:firstLineChars="200"/>
    </w:pPr>
    <w:rPr>
      <w:rFonts w:ascii="仿宋" w:hAnsi="仿宋" w:eastAsia="仿宋"/>
      <w:sz w:val="32"/>
      <w:szCs w:val="32"/>
    </w:rPr>
  </w:style>
  <w:style w:type="paragraph" w:styleId="17">
    <w:name w:val="List Paragraph"/>
    <w:basedOn w:val="1"/>
    <w:qFormat/>
    <w:uiPriority w:val="34"/>
    <w:pPr>
      <w:ind w:firstLine="420" w:firstLineChars="200"/>
    </w:pPr>
  </w:style>
  <w:style w:type="paragraph" w:customStyle="1" w:styleId="18">
    <w:name w:val="正文样式"/>
    <w:qFormat/>
    <w:uiPriority w:val="0"/>
    <w:pPr>
      <w:widowControl w:val="0"/>
      <w:ind w:firstLine="420"/>
      <w:jc w:val="both"/>
    </w:pPr>
    <w:rPr>
      <w:rFonts w:hint="eastAsia" w:ascii="Times New Roman" w:hAnsi="Times New Roman" w:eastAsia="仿宋" w:cs="Times New Roman"/>
      <w:kern w:val="2"/>
      <w:sz w:val="24"/>
      <w:szCs w:val="24"/>
      <w:lang w:val="en-US" w:eastAsia="zh-Han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1691</Words>
  <Characters>1843</Characters>
  <Lines>11</Lines>
  <Paragraphs>3</Paragraphs>
  <TotalTime>4</TotalTime>
  <ScaleCrop>false</ScaleCrop>
  <LinksUpToDate>false</LinksUpToDate>
  <CharactersWithSpaces>1947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2022-08-02T02:27:00Z</dcterms:created>
  <dc:creator>Administrator</dc:creator>
  <cp:lastModifiedBy>follow the sun</cp:lastModifiedBy>
  <dcterms:modified xsi:type="dcterms:W3CDTF">2022-11-29T10:59:23Z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12019798958B4940A41157DBEF0FB99C</vt:lpwstr>
  </property>
</Properties>
</file>